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0FBF3AE8" w14:textId="77777777" w:rsidR="00B45C45" w:rsidRPr="00B45C45" w:rsidRDefault="00397EF2" w:rsidP="00B45C45">
      <w:pPr>
        <w:pStyle w:val="TextosemFormatao"/>
        <w:spacing w:line="276" w:lineRule="auto"/>
        <w:ind w:left="2832"/>
        <w:jc w:val="both"/>
        <w:rPr>
          <w:rFonts w:ascii="Times New Roman" w:hAnsi="Times New Roman"/>
          <w:b/>
          <w:i/>
          <w:lang w:val="pt-BR"/>
        </w:rPr>
      </w:pPr>
      <w:r w:rsidRPr="009009F9">
        <w:rPr>
          <w:rFonts w:ascii="Times New Roman" w:hAnsi="Times New Roman"/>
          <w:b/>
          <w:i/>
        </w:rPr>
        <w:t xml:space="preserve">CONTRATO ADMINISTRATIVO </w:t>
      </w:r>
      <w:proofErr w:type="spellStart"/>
      <w:r w:rsidRPr="009009F9">
        <w:rPr>
          <w:rFonts w:ascii="Times New Roman" w:hAnsi="Times New Roman"/>
          <w:b/>
          <w:i/>
        </w:rPr>
        <w:t>Nº</w:t>
      </w:r>
      <w:r w:rsidR="00B45C45">
        <w:rPr>
          <w:rFonts w:ascii="Times New Roman" w:hAnsi="Times New Roman"/>
          <w:b/>
          <w:i/>
          <w:lang w:val="pt-BR"/>
        </w:rPr>
        <w:t>xx</w:t>
      </w:r>
      <w:proofErr w:type="spellEnd"/>
      <w:r w:rsidRPr="009009F9">
        <w:rPr>
          <w:rFonts w:ascii="Times New Roman" w:hAnsi="Times New Roman"/>
          <w:b/>
          <w:i/>
        </w:rPr>
        <w:t>/</w:t>
      </w:r>
      <w:r w:rsidR="008F1357" w:rsidRPr="009009F9">
        <w:rPr>
          <w:rFonts w:ascii="Times New Roman" w:hAnsi="Times New Roman"/>
          <w:b/>
          <w:i/>
        </w:rPr>
        <w:t>2023</w:t>
      </w:r>
      <w:r w:rsidRPr="009009F9">
        <w:rPr>
          <w:rFonts w:ascii="Times New Roman" w:hAnsi="Times New Roman"/>
          <w:b/>
          <w:i/>
        </w:rPr>
        <w:t xml:space="preserve">, </w:t>
      </w:r>
      <w:r w:rsidR="005A06CC" w:rsidRPr="009009F9">
        <w:rPr>
          <w:rFonts w:ascii="Times New Roman" w:hAnsi="Times New Roman"/>
          <w:b/>
          <w:i/>
          <w:lang w:val="pt-BR"/>
        </w:rPr>
        <w:t xml:space="preserve">DECORRENTE DO </w:t>
      </w:r>
      <w:r w:rsidR="005A06CC" w:rsidRPr="000C6BA2">
        <w:rPr>
          <w:rFonts w:ascii="Times New Roman" w:hAnsi="Times New Roman"/>
          <w:b/>
          <w:i/>
          <w:lang w:val="pt-BR"/>
        </w:rPr>
        <w:t>PROCESSO DE DISPENSA 0</w:t>
      </w:r>
      <w:r w:rsidR="009009F9" w:rsidRPr="000C6BA2">
        <w:rPr>
          <w:rFonts w:ascii="Times New Roman" w:hAnsi="Times New Roman"/>
          <w:b/>
          <w:i/>
          <w:lang w:val="pt-BR"/>
        </w:rPr>
        <w:t>1</w:t>
      </w:r>
      <w:r w:rsidR="00B45C45">
        <w:rPr>
          <w:rFonts w:ascii="Times New Roman" w:hAnsi="Times New Roman"/>
          <w:b/>
          <w:i/>
          <w:lang w:val="pt-BR"/>
        </w:rPr>
        <w:t>8</w:t>
      </w:r>
      <w:r w:rsidR="005A06CC" w:rsidRPr="000C6BA2">
        <w:rPr>
          <w:rFonts w:ascii="Times New Roman" w:hAnsi="Times New Roman"/>
          <w:b/>
          <w:i/>
          <w:lang w:val="pt-BR"/>
        </w:rPr>
        <w:t>/2023</w:t>
      </w:r>
      <w:r w:rsidR="005A06CC" w:rsidRPr="009009F9">
        <w:rPr>
          <w:rFonts w:ascii="Times New Roman" w:hAnsi="Times New Roman"/>
          <w:b/>
          <w:i/>
          <w:lang w:val="pt-BR"/>
        </w:rPr>
        <w:t xml:space="preserve">, </w:t>
      </w:r>
      <w:r w:rsidRPr="009009F9">
        <w:rPr>
          <w:rFonts w:ascii="Times New Roman" w:hAnsi="Times New Roman"/>
          <w:b/>
          <w:i/>
        </w:rPr>
        <w:t xml:space="preserve">QUE FAZEM ENTRE SI </w:t>
      </w:r>
      <w:r w:rsidR="00A3407E" w:rsidRPr="009009F9">
        <w:rPr>
          <w:rFonts w:ascii="Times New Roman" w:hAnsi="Times New Roman"/>
          <w:b/>
          <w:i/>
        </w:rPr>
        <w:t>O MUNICÍPIO DE CACIQUE DOBLE</w:t>
      </w:r>
      <w:r w:rsidRPr="00B45C45">
        <w:rPr>
          <w:rFonts w:ascii="Times New Roman" w:hAnsi="Times New Roman"/>
          <w:b/>
          <w:i/>
        </w:rPr>
        <w:t>,</w:t>
      </w:r>
      <w:r w:rsidR="00A3407E" w:rsidRPr="00B45C45">
        <w:rPr>
          <w:rFonts w:ascii="Times New Roman" w:hAnsi="Times New Roman"/>
          <w:b/>
          <w:i/>
        </w:rPr>
        <w:t xml:space="preserve"> </w:t>
      </w:r>
      <w:bookmarkStart w:id="0" w:name="_Hlk125016911"/>
      <w:r w:rsidR="00B45C45" w:rsidRPr="00B45C45">
        <w:rPr>
          <w:rFonts w:ascii="Times New Roman" w:hAnsi="Times New Roman"/>
          <w:b/>
          <w:bCs/>
          <w:i/>
          <w:color w:val="000000"/>
          <w:lang w:val="pt-BR"/>
        </w:rPr>
        <w:t>ADRIELI SILVESTRO 03088104063</w:t>
      </w:r>
    </w:p>
    <w:p w14:paraId="642C1A54" w14:textId="329EC383" w:rsidR="008F1357" w:rsidRPr="00B45C45" w:rsidRDefault="008F1357" w:rsidP="007530C5">
      <w:pPr>
        <w:pStyle w:val="TextosemFormatao"/>
        <w:ind w:left="2552"/>
        <w:jc w:val="both"/>
        <w:rPr>
          <w:rFonts w:ascii="Times New Roman" w:hAnsi="Times New Roman"/>
          <w:b/>
          <w:i/>
          <w:lang w:val="pt-BR"/>
        </w:rPr>
      </w:pPr>
    </w:p>
    <w:bookmarkEnd w:id="0"/>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552F099D" w14:textId="59451C2D" w:rsidR="007530C5" w:rsidRPr="00B45C45" w:rsidRDefault="00A3407E" w:rsidP="00B45C45">
      <w:pPr>
        <w:pStyle w:val="TextosemFormatao"/>
        <w:spacing w:line="276" w:lineRule="auto"/>
        <w:jc w:val="both"/>
        <w:rPr>
          <w:rFonts w:ascii="Times New Roman" w:hAnsi="Times New Roman"/>
          <w:b/>
          <w:sz w:val="24"/>
          <w:szCs w:val="24"/>
          <w:lang w:val="pt-BR"/>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rPr>
        <w:t>427.634.010-15</w:t>
      </w:r>
      <w:r w:rsidRPr="008F1357">
        <w:rPr>
          <w:rFonts w:ascii="Times New Roman" w:hAnsi="Times New Roman"/>
          <w:sz w:val="24"/>
          <w:szCs w:val="24"/>
        </w:rPr>
        <w:t xml:space="preserve"> e RG nº </w:t>
      </w:r>
      <w:r w:rsidR="002B1573">
        <w:rPr>
          <w:rFonts w:ascii="Times New Roman" w:hAnsi="Times New Roman"/>
          <w:sz w:val="24"/>
          <w:szCs w:val="24"/>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rPr>
        <w:t>Av. Guarani, nº 301</w:t>
      </w:r>
      <w:r w:rsidRPr="008F1357">
        <w:rPr>
          <w:rFonts w:ascii="Times New Roman" w:hAnsi="Times New Roman"/>
          <w:sz w:val="24"/>
          <w:szCs w:val="24"/>
        </w:rPr>
        <w:t xml:space="preserve">, </w:t>
      </w:r>
      <w:r w:rsidR="002B1573">
        <w:rPr>
          <w:rFonts w:ascii="Times New Roman" w:hAnsi="Times New Roman"/>
          <w:sz w:val="24"/>
          <w:szCs w:val="24"/>
        </w:rPr>
        <w:t xml:space="preserve">Bairro Planalto, </w:t>
      </w:r>
      <w:r w:rsidRPr="008F1357">
        <w:rPr>
          <w:rFonts w:ascii="Times New Roman" w:hAnsi="Times New Roman"/>
          <w:sz w:val="24"/>
          <w:szCs w:val="24"/>
        </w:rPr>
        <w:t>Cacique Doble, RS,</w:t>
      </w:r>
      <w:r w:rsidR="002B1573">
        <w:rPr>
          <w:rFonts w:ascii="Times New Roman" w:hAnsi="Times New Roman"/>
          <w:sz w:val="24"/>
          <w:szCs w:val="24"/>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rPr>
        <w:t xml:space="preserve">do outro lado </w:t>
      </w:r>
      <w:r w:rsidR="0064036D" w:rsidRPr="0064036D">
        <w:rPr>
          <w:rFonts w:ascii="Times New Roman" w:hAnsi="Times New Roman"/>
          <w:sz w:val="24"/>
          <w:szCs w:val="24"/>
        </w:rPr>
        <w:t>como</w:t>
      </w:r>
      <w:r w:rsidR="0064036D" w:rsidRPr="0064036D">
        <w:rPr>
          <w:rFonts w:ascii="Times New Roman" w:hAnsi="Times New Roman"/>
          <w:b/>
          <w:sz w:val="24"/>
          <w:szCs w:val="24"/>
        </w:rPr>
        <w:t xml:space="preserve"> </w:t>
      </w:r>
      <w:r w:rsidR="0064036D" w:rsidRPr="000C6BA2">
        <w:rPr>
          <w:rFonts w:ascii="Times New Roman" w:hAnsi="Times New Roman"/>
          <w:b/>
          <w:sz w:val="24"/>
          <w:szCs w:val="24"/>
        </w:rPr>
        <w:t>CONTRATADA A</w:t>
      </w:r>
      <w:r w:rsidR="00397EF2" w:rsidRPr="000C6BA2">
        <w:rPr>
          <w:rFonts w:ascii="Times New Roman" w:hAnsi="Times New Roman"/>
          <w:sz w:val="24"/>
          <w:szCs w:val="24"/>
        </w:rPr>
        <w:t xml:space="preserve"> </w:t>
      </w:r>
      <w:r w:rsidR="0064036D" w:rsidRPr="000C6BA2">
        <w:rPr>
          <w:rFonts w:ascii="Times New Roman" w:hAnsi="Times New Roman"/>
          <w:b/>
          <w:sz w:val="24"/>
          <w:szCs w:val="24"/>
        </w:rPr>
        <w:t>EMPRESA</w:t>
      </w:r>
      <w:r w:rsidR="0064036D" w:rsidRPr="000C6BA2">
        <w:rPr>
          <w:rFonts w:ascii="Times New Roman" w:eastAsia="Liberation Serif" w:hAnsi="Times New Roman"/>
          <w:b/>
          <w:sz w:val="24"/>
          <w:szCs w:val="24"/>
        </w:rPr>
        <w:t xml:space="preserve">: </w:t>
      </w:r>
      <w:r w:rsidR="00B45C45" w:rsidRPr="00B45C45">
        <w:rPr>
          <w:rFonts w:ascii="Times New Roman" w:hAnsi="Times New Roman"/>
          <w:b/>
          <w:bCs/>
          <w:color w:val="000000"/>
          <w:sz w:val="24"/>
          <w:szCs w:val="28"/>
          <w:lang w:val="pt-BR"/>
        </w:rPr>
        <w:t>ADRIELI SILVESTRO 03088104063</w:t>
      </w:r>
      <w:r w:rsidR="007530C5" w:rsidRPr="000C6BA2">
        <w:rPr>
          <w:rFonts w:ascii="Times New Roman" w:hAnsi="Times New Roman"/>
          <w:b/>
          <w:sz w:val="24"/>
          <w:szCs w:val="24"/>
        </w:rPr>
        <w:t xml:space="preserve">, </w:t>
      </w:r>
      <w:r w:rsidR="007530C5" w:rsidRPr="000C6BA2">
        <w:rPr>
          <w:rFonts w:ascii="Times New Roman" w:hAnsi="Times New Roman"/>
          <w:sz w:val="24"/>
          <w:szCs w:val="24"/>
        </w:rPr>
        <w:t xml:space="preserve">pessoa jurídica de direito privado, inscrita no CNPJ: </w:t>
      </w:r>
      <w:r w:rsidR="00B45C45" w:rsidRPr="00855EB4">
        <w:rPr>
          <w:rFonts w:ascii="Times New Roman" w:hAnsi="Times New Roman"/>
          <w:bCs/>
          <w:color w:val="000000"/>
          <w:sz w:val="24"/>
          <w:szCs w:val="24"/>
          <w:lang w:val="pt-BR"/>
        </w:rPr>
        <w:t>39.349703/0001-65</w:t>
      </w:r>
      <w:r w:rsidR="007530C5" w:rsidRPr="000C6BA2">
        <w:rPr>
          <w:rFonts w:ascii="Times New Roman" w:hAnsi="Times New Roman"/>
          <w:sz w:val="24"/>
          <w:szCs w:val="24"/>
        </w:rPr>
        <w:t>, com sua sede na</w:t>
      </w:r>
      <w:r w:rsidR="008A4469" w:rsidRPr="000C6BA2">
        <w:rPr>
          <w:rFonts w:ascii="Times New Roman" w:hAnsi="Times New Roman"/>
          <w:sz w:val="24"/>
          <w:szCs w:val="24"/>
        </w:rPr>
        <w:t xml:space="preserve"> </w:t>
      </w:r>
      <w:bookmarkStart w:id="1" w:name="_Hlk140738277"/>
      <w:r w:rsidR="00B45C45">
        <w:rPr>
          <w:rFonts w:ascii="Times New Roman" w:hAnsi="Times New Roman"/>
          <w:sz w:val="24"/>
          <w:szCs w:val="24"/>
          <w:lang w:val="pt-BR"/>
        </w:rPr>
        <w:t xml:space="preserve">Avenida </w:t>
      </w:r>
      <w:proofErr w:type="spellStart"/>
      <w:r w:rsidR="00B45C45">
        <w:rPr>
          <w:rFonts w:ascii="Times New Roman" w:hAnsi="Times New Roman"/>
          <w:sz w:val="24"/>
          <w:szCs w:val="24"/>
          <w:lang w:val="pt-BR"/>
        </w:rPr>
        <w:t>Guerino</w:t>
      </w:r>
      <w:proofErr w:type="spellEnd"/>
      <w:r w:rsidR="00B45C45">
        <w:rPr>
          <w:rFonts w:ascii="Times New Roman" w:hAnsi="Times New Roman"/>
          <w:sz w:val="24"/>
          <w:szCs w:val="24"/>
          <w:lang w:val="pt-BR"/>
        </w:rPr>
        <w:t xml:space="preserve"> </w:t>
      </w:r>
      <w:proofErr w:type="spellStart"/>
      <w:r w:rsidR="00B45C45">
        <w:rPr>
          <w:rFonts w:ascii="Times New Roman" w:hAnsi="Times New Roman"/>
          <w:sz w:val="24"/>
          <w:szCs w:val="24"/>
          <w:lang w:val="pt-BR"/>
        </w:rPr>
        <w:t>Carniel</w:t>
      </w:r>
      <w:proofErr w:type="spellEnd"/>
      <w:r w:rsidR="00B45C45">
        <w:rPr>
          <w:rFonts w:ascii="Times New Roman" w:hAnsi="Times New Roman"/>
          <w:sz w:val="24"/>
          <w:szCs w:val="24"/>
          <w:lang w:val="pt-BR"/>
        </w:rPr>
        <w:t xml:space="preserve"> </w:t>
      </w:r>
      <w:r w:rsidR="00FA7CCC" w:rsidRPr="000C6BA2">
        <w:rPr>
          <w:rFonts w:ascii="Times New Roman" w:hAnsi="Times New Roman"/>
          <w:sz w:val="24"/>
          <w:szCs w:val="24"/>
        </w:rPr>
        <w:t>Município de Cacique Doble</w:t>
      </w:r>
      <w:r w:rsidR="008A4469" w:rsidRPr="000C6BA2">
        <w:rPr>
          <w:rFonts w:ascii="Times New Roman" w:hAnsi="Times New Roman"/>
          <w:sz w:val="24"/>
          <w:szCs w:val="24"/>
        </w:rPr>
        <w:t xml:space="preserve"> - RS</w:t>
      </w:r>
      <w:bookmarkEnd w:id="1"/>
      <w:r w:rsidR="007530C5" w:rsidRPr="000C6BA2">
        <w:rPr>
          <w:rFonts w:ascii="Times New Roman" w:hAnsi="Times New Roman"/>
          <w:sz w:val="24"/>
          <w:szCs w:val="24"/>
        </w:rPr>
        <w:t>, neste ato representado pel</w:t>
      </w:r>
      <w:r w:rsidR="00FA7CCC" w:rsidRPr="000C6BA2">
        <w:rPr>
          <w:rFonts w:ascii="Times New Roman" w:hAnsi="Times New Roman"/>
          <w:sz w:val="24"/>
          <w:szCs w:val="24"/>
        </w:rPr>
        <w:t>a</w:t>
      </w:r>
      <w:r w:rsidR="007530C5" w:rsidRPr="000C6BA2">
        <w:rPr>
          <w:rFonts w:ascii="Times New Roman" w:hAnsi="Times New Roman"/>
          <w:sz w:val="24"/>
          <w:szCs w:val="24"/>
        </w:rPr>
        <w:t xml:space="preserve"> Senhor</w:t>
      </w:r>
      <w:r w:rsidR="00FA7CCC" w:rsidRPr="000C6BA2">
        <w:rPr>
          <w:rFonts w:ascii="Times New Roman" w:hAnsi="Times New Roman"/>
          <w:sz w:val="24"/>
          <w:szCs w:val="24"/>
        </w:rPr>
        <w:t>a</w:t>
      </w:r>
      <w:r w:rsidR="008A4469" w:rsidRPr="000C6BA2">
        <w:rPr>
          <w:rFonts w:ascii="Times New Roman" w:hAnsi="Times New Roman"/>
          <w:sz w:val="24"/>
          <w:szCs w:val="24"/>
        </w:rPr>
        <w:t xml:space="preserve"> </w:t>
      </w:r>
      <w:proofErr w:type="spellStart"/>
      <w:r w:rsidR="00B45C45">
        <w:rPr>
          <w:rFonts w:ascii="Times New Roman" w:hAnsi="Times New Roman"/>
          <w:b/>
          <w:sz w:val="24"/>
          <w:szCs w:val="24"/>
          <w:lang w:val="pt-BR"/>
        </w:rPr>
        <w:t>Adriele</w:t>
      </w:r>
      <w:proofErr w:type="spellEnd"/>
      <w:r w:rsidR="00B45C45">
        <w:rPr>
          <w:rFonts w:ascii="Times New Roman" w:hAnsi="Times New Roman"/>
          <w:b/>
          <w:sz w:val="24"/>
          <w:szCs w:val="24"/>
          <w:lang w:val="pt-BR"/>
        </w:rPr>
        <w:t xml:space="preserve"> </w:t>
      </w:r>
      <w:proofErr w:type="spellStart"/>
      <w:r w:rsidR="00B45C45">
        <w:rPr>
          <w:rFonts w:ascii="Times New Roman" w:hAnsi="Times New Roman"/>
          <w:b/>
          <w:sz w:val="24"/>
          <w:szCs w:val="24"/>
          <w:lang w:val="pt-BR"/>
        </w:rPr>
        <w:t>Silvestro</w:t>
      </w:r>
      <w:proofErr w:type="spellEnd"/>
      <w:r w:rsidR="007530C5" w:rsidRPr="000C6BA2">
        <w:rPr>
          <w:rFonts w:ascii="Times New Roman" w:hAnsi="Times New Roman"/>
          <w:sz w:val="24"/>
          <w:szCs w:val="24"/>
        </w:rPr>
        <w:t>, brasileir</w:t>
      </w:r>
      <w:r w:rsidR="00FA7CCC" w:rsidRPr="000C6BA2">
        <w:rPr>
          <w:rFonts w:ascii="Times New Roman" w:hAnsi="Times New Roman"/>
          <w:sz w:val="24"/>
          <w:szCs w:val="24"/>
        </w:rPr>
        <w:t>a</w:t>
      </w:r>
      <w:r w:rsidR="007530C5" w:rsidRPr="000C6BA2">
        <w:rPr>
          <w:rFonts w:ascii="Times New Roman" w:hAnsi="Times New Roman"/>
          <w:sz w:val="24"/>
          <w:szCs w:val="24"/>
        </w:rPr>
        <w:t>, maior, portador</w:t>
      </w:r>
      <w:r w:rsidR="00B45C45">
        <w:rPr>
          <w:rFonts w:ascii="Times New Roman" w:hAnsi="Times New Roman"/>
          <w:sz w:val="24"/>
          <w:szCs w:val="24"/>
          <w:lang w:val="pt-BR"/>
        </w:rPr>
        <w:t>a</w:t>
      </w:r>
      <w:r w:rsidR="007530C5" w:rsidRPr="000C6BA2">
        <w:rPr>
          <w:rFonts w:ascii="Times New Roman" w:hAnsi="Times New Roman"/>
          <w:sz w:val="24"/>
          <w:szCs w:val="24"/>
        </w:rPr>
        <w:t xml:space="preserve"> do CPF:</w:t>
      </w:r>
      <w:r w:rsidR="008A4469" w:rsidRPr="000C6BA2">
        <w:rPr>
          <w:rFonts w:ascii="Times New Roman" w:hAnsi="Times New Roman"/>
          <w:sz w:val="24"/>
          <w:szCs w:val="24"/>
        </w:rPr>
        <w:t xml:space="preserve"> </w:t>
      </w:r>
      <w:r w:rsidR="00B45C45">
        <w:rPr>
          <w:rFonts w:ascii="Times New Roman" w:hAnsi="Times New Roman"/>
          <w:sz w:val="24"/>
          <w:szCs w:val="24"/>
          <w:lang w:val="pt-BR"/>
        </w:rPr>
        <w:t>030.881.040-63</w:t>
      </w:r>
      <w:r w:rsidR="007530C5" w:rsidRPr="000C6BA2">
        <w:rPr>
          <w:rFonts w:ascii="Times New Roman" w:hAnsi="Times New Roman"/>
          <w:sz w:val="24"/>
          <w:szCs w:val="24"/>
        </w:rPr>
        <w:t xml:space="preserve">,  residente na </w:t>
      </w:r>
      <w:r w:rsidR="00B45C45">
        <w:rPr>
          <w:rFonts w:ascii="Times New Roman" w:hAnsi="Times New Roman"/>
          <w:sz w:val="24"/>
          <w:szCs w:val="24"/>
          <w:lang w:val="pt-BR"/>
        </w:rPr>
        <w:t xml:space="preserve">Avenida </w:t>
      </w:r>
      <w:proofErr w:type="spellStart"/>
      <w:r w:rsidR="00B45C45">
        <w:rPr>
          <w:rFonts w:ascii="Times New Roman" w:hAnsi="Times New Roman"/>
          <w:sz w:val="24"/>
          <w:szCs w:val="24"/>
          <w:lang w:val="pt-BR"/>
        </w:rPr>
        <w:t>Guerino</w:t>
      </w:r>
      <w:proofErr w:type="spellEnd"/>
      <w:r w:rsidR="00B45C45">
        <w:rPr>
          <w:rFonts w:ascii="Times New Roman" w:hAnsi="Times New Roman"/>
          <w:sz w:val="24"/>
          <w:szCs w:val="24"/>
          <w:lang w:val="pt-BR"/>
        </w:rPr>
        <w:t xml:space="preserve"> </w:t>
      </w:r>
      <w:proofErr w:type="spellStart"/>
      <w:r w:rsidR="00B45C45">
        <w:rPr>
          <w:rFonts w:ascii="Times New Roman" w:hAnsi="Times New Roman"/>
          <w:sz w:val="24"/>
          <w:szCs w:val="24"/>
          <w:lang w:val="pt-BR"/>
        </w:rPr>
        <w:t>Carniel</w:t>
      </w:r>
      <w:proofErr w:type="spellEnd"/>
      <w:r w:rsidR="00FA7CCC" w:rsidRPr="000C6BA2">
        <w:rPr>
          <w:rFonts w:ascii="Times New Roman" w:hAnsi="Times New Roman"/>
          <w:sz w:val="24"/>
          <w:szCs w:val="24"/>
        </w:rPr>
        <w:t>, Município de Cacique Doble - RS</w:t>
      </w:r>
      <w:r w:rsidR="007530C5" w:rsidRPr="000C6BA2">
        <w:rPr>
          <w:rFonts w:ascii="Times New Roman" w:hAnsi="Times New Roman"/>
          <w:sz w:val="24"/>
          <w:szCs w:val="24"/>
        </w:rPr>
        <w:t>.</w:t>
      </w:r>
    </w:p>
    <w:p w14:paraId="470D24A7" w14:textId="2502034B" w:rsidR="009B32A8" w:rsidRPr="0064036D" w:rsidRDefault="0064036D" w:rsidP="0064036D">
      <w:pPr>
        <w:pStyle w:val="TextosemFormatao"/>
        <w:spacing w:line="276" w:lineRule="auto"/>
        <w:jc w:val="both"/>
        <w:rPr>
          <w:rFonts w:ascii="Times New Roman" w:hAnsi="Times New Roman"/>
          <w:b/>
          <w:sz w:val="24"/>
          <w:szCs w:val="24"/>
          <w:lang w:val="pt-BR"/>
        </w:rPr>
      </w:pPr>
      <w:r w:rsidRPr="000C6BA2">
        <w:rPr>
          <w:rFonts w:ascii="Times New Roman" w:hAnsi="Times New Roman"/>
          <w:sz w:val="24"/>
          <w:szCs w:val="24"/>
          <w:lang w:val="pt-BR"/>
        </w:rPr>
        <w:t>T</w:t>
      </w:r>
      <w:r w:rsidR="00397EF2" w:rsidRPr="000C6BA2">
        <w:rPr>
          <w:rFonts w:ascii="Times New Roman" w:hAnsi="Times New Roman"/>
          <w:sz w:val="24"/>
          <w:szCs w:val="24"/>
        </w:rPr>
        <w:t xml:space="preserve">endo em vista o que consta no </w:t>
      </w:r>
      <w:r w:rsidR="00397EF2" w:rsidRPr="00CC113F">
        <w:rPr>
          <w:rFonts w:ascii="Times New Roman" w:hAnsi="Times New Roman"/>
          <w:b/>
          <w:sz w:val="24"/>
          <w:szCs w:val="24"/>
        </w:rPr>
        <w:t xml:space="preserve">Processo </w:t>
      </w:r>
      <w:r w:rsidR="00AC6F3D" w:rsidRPr="00CC113F">
        <w:rPr>
          <w:rFonts w:ascii="Times New Roman" w:hAnsi="Times New Roman"/>
          <w:b/>
          <w:sz w:val="24"/>
          <w:szCs w:val="24"/>
        </w:rPr>
        <w:t>Geral nº 0</w:t>
      </w:r>
      <w:r w:rsidR="00B45C45">
        <w:rPr>
          <w:rFonts w:ascii="Times New Roman" w:hAnsi="Times New Roman"/>
          <w:b/>
          <w:sz w:val="24"/>
          <w:szCs w:val="24"/>
          <w:lang w:val="pt-BR"/>
        </w:rPr>
        <w:t>4</w:t>
      </w:r>
      <w:r w:rsidR="00CC113F" w:rsidRPr="00CC113F">
        <w:rPr>
          <w:rFonts w:ascii="Times New Roman" w:hAnsi="Times New Roman"/>
          <w:b/>
          <w:sz w:val="24"/>
          <w:szCs w:val="24"/>
          <w:lang w:val="pt-BR"/>
        </w:rPr>
        <w:t>6</w:t>
      </w:r>
      <w:r w:rsidR="00AC6F3D" w:rsidRPr="00CC113F">
        <w:rPr>
          <w:rFonts w:ascii="Times New Roman" w:hAnsi="Times New Roman"/>
          <w:b/>
          <w:sz w:val="24"/>
          <w:szCs w:val="24"/>
        </w:rPr>
        <w:t>/2023</w:t>
      </w:r>
      <w:r w:rsidR="00AC6F3D" w:rsidRPr="000C6BA2">
        <w:rPr>
          <w:rFonts w:ascii="Times New Roman" w:hAnsi="Times New Roman"/>
          <w:sz w:val="24"/>
          <w:szCs w:val="24"/>
        </w:rPr>
        <w:t xml:space="preserve"> que trata da</w:t>
      </w:r>
      <w:r w:rsidR="00A3407E" w:rsidRPr="000C6BA2">
        <w:rPr>
          <w:rFonts w:ascii="Times New Roman" w:hAnsi="Times New Roman"/>
          <w:sz w:val="24"/>
          <w:szCs w:val="24"/>
        </w:rPr>
        <w:t xml:space="preserve"> </w:t>
      </w:r>
      <w:r w:rsidR="00A3407E" w:rsidRPr="000C6BA2">
        <w:rPr>
          <w:rFonts w:ascii="Times New Roman" w:hAnsi="Times New Roman"/>
          <w:b/>
          <w:sz w:val="24"/>
          <w:szCs w:val="24"/>
        </w:rPr>
        <w:t>Dispensa de Licitação nº 0</w:t>
      </w:r>
      <w:r w:rsidR="009009F9" w:rsidRPr="000C6BA2">
        <w:rPr>
          <w:rFonts w:ascii="Times New Roman" w:hAnsi="Times New Roman"/>
          <w:b/>
          <w:sz w:val="24"/>
          <w:szCs w:val="24"/>
          <w:lang w:val="pt-BR"/>
        </w:rPr>
        <w:t>1</w:t>
      </w:r>
      <w:r w:rsidR="00B45C45">
        <w:rPr>
          <w:rFonts w:ascii="Times New Roman" w:hAnsi="Times New Roman"/>
          <w:b/>
          <w:sz w:val="24"/>
          <w:szCs w:val="24"/>
          <w:lang w:val="pt-BR"/>
        </w:rPr>
        <w:t>8</w:t>
      </w:r>
      <w:r w:rsidR="00A3407E" w:rsidRPr="000C6BA2">
        <w:rPr>
          <w:rFonts w:ascii="Times New Roman" w:hAnsi="Times New Roman"/>
          <w:b/>
          <w:sz w:val="24"/>
          <w:szCs w:val="24"/>
        </w:rPr>
        <w:t>/2023</w:t>
      </w:r>
      <w:r w:rsidR="00397EF2" w:rsidRPr="00FA7CCC">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0D4D3BC7" w14:textId="6895EECD" w:rsidR="00D96EC9"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713E05D7" w14:textId="6250F905" w:rsidR="008E7191" w:rsidRDefault="008E7191" w:rsidP="008E7191">
      <w:pPr>
        <w:pStyle w:val="Nivel01Titulo"/>
        <w:numPr>
          <w:ilvl w:val="0"/>
          <w:numId w:val="0"/>
        </w:numPr>
        <w:spacing w:before="0"/>
        <w:rPr>
          <w:rFonts w:ascii="Times New Roman" w:hAnsi="Times New Roman"/>
          <w:b w:val="0"/>
          <w:color w:val="000000" w:themeColor="text1"/>
          <w:sz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3969"/>
        <w:gridCol w:w="1062"/>
        <w:gridCol w:w="1348"/>
        <w:gridCol w:w="1417"/>
      </w:tblGrid>
      <w:tr w:rsidR="008E7191" w:rsidRPr="009009F9" w14:paraId="44C68A17" w14:textId="77777777" w:rsidTr="009009F9">
        <w:trPr>
          <w:trHeight w:val="61"/>
        </w:trPr>
        <w:tc>
          <w:tcPr>
            <w:tcW w:w="851" w:type="dxa"/>
            <w:shd w:val="clear" w:color="auto" w:fill="B4C6E7" w:themeFill="accent1" w:themeFillTint="66"/>
            <w:vAlign w:val="center"/>
          </w:tcPr>
          <w:p w14:paraId="7372F00E"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ITEM</w:t>
            </w:r>
          </w:p>
        </w:tc>
        <w:tc>
          <w:tcPr>
            <w:tcW w:w="1276" w:type="dxa"/>
            <w:shd w:val="clear" w:color="auto" w:fill="B4C6E7" w:themeFill="accent1" w:themeFillTint="66"/>
            <w:vAlign w:val="center"/>
          </w:tcPr>
          <w:p w14:paraId="1B70391B"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UNID/MÊS</w:t>
            </w:r>
          </w:p>
        </w:tc>
        <w:tc>
          <w:tcPr>
            <w:tcW w:w="3969" w:type="dxa"/>
            <w:shd w:val="clear" w:color="auto" w:fill="B4C6E7" w:themeFill="accent1" w:themeFillTint="66"/>
            <w:vAlign w:val="center"/>
          </w:tcPr>
          <w:p w14:paraId="3B4B8991"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DESCRIÇÃO/OBJETO</w:t>
            </w:r>
          </w:p>
        </w:tc>
        <w:tc>
          <w:tcPr>
            <w:tcW w:w="1062" w:type="dxa"/>
            <w:shd w:val="clear" w:color="auto" w:fill="B4C6E7" w:themeFill="accent1" w:themeFillTint="66"/>
            <w:vAlign w:val="center"/>
          </w:tcPr>
          <w:p w14:paraId="5BE94176"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QUANT.</w:t>
            </w:r>
          </w:p>
        </w:tc>
        <w:tc>
          <w:tcPr>
            <w:tcW w:w="1348" w:type="dxa"/>
            <w:shd w:val="clear" w:color="auto" w:fill="B4C6E7" w:themeFill="accent1" w:themeFillTint="66"/>
            <w:vAlign w:val="center"/>
          </w:tcPr>
          <w:p w14:paraId="1E813824"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Valor Unit.</w:t>
            </w:r>
          </w:p>
        </w:tc>
        <w:tc>
          <w:tcPr>
            <w:tcW w:w="1417" w:type="dxa"/>
            <w:shd w:val="clear" w:color="auto" w:fill="B4C6E7" w:themeFill="accent1" w:themeFillTint="66"/>
            <w:vAlign w:val="center"/>
          </w:tcPr>
          <w:p w14:paraId="5E53829C" w14:textId="77777777" w:rsidR="008E7191" w:rsidRPr="009009F9" w:rsidRDefault="008E7191" w:rsidP="00D26A5B">
            <w:pPr>
              <w:spacing w:after="0" w:line="240" w:lineRule="auto"/>
              <w:jc w:val="center"/>
              <w:rPr>
                <w:rFonts w:ascii="Times New Roman" w:hAnsi="Times New Roman" w:cs="Times New Roman"/>
                <w:b/>
                <w:sz w:val="20"/>
                <w:szCs w:val="20"/>
              </w:rPr>
            </w:pPr>
            <w:r w:rsidRPr="009009F9">
              <w:rPr>
                <w:rFonts w:ascii="Times New Roman" w:hAnsi="Times New Roman" w:cs="Times New Roman"/>
                <w:b/>
                <w:sz w:val="20"/>
                <w:szCs w:val="20"/>
              </w:rPr>
              <w:t>TOTAL</w:t>
            </w:r>
          </w:p>
        </w:tc>
      </w:tr>
      <w:tr w:rsidR="00B45C45" w:rsidRPr="009009F9" w14:paraId="1D505DED" w14:textId="77777777" w:rsidTr="00D50CD5">
        <w:trPr>
          <w:trHeight w:val="702"/>
        </w:trPr>
        <w:tc>
          <w:tcPr>
            <w:tcW w:w="851" w:type="dxa"/>
            <w:vAlign w:val="center"/>
          </w:tcPr>
          <w:p w14:paraId="0FAC7205" w14:textId="77777777" w:rsidR="00B45C45" w:rsidRPr="009009F9" w:rsidRDefault="00B45C45" w:rsidP="00B45C45">
            <w:pPr>
              <w:spacing w:after="0"/>
              <w:jc w:val="center"/>
              <w:rPr>
                <w:rFonts w:ascii="Times New Roman" w:hAnsi="Times New Roman" w:cs="Times New Roman"/>
                <w:sz w:val="20"/>
                <w:szCs w:val="20"/>
              </w:rPr>
            </w:pPr>
            <w:r w:rsidRPr="009009F9">
              <w:rPr>
                <w:rFonts w:ascii="Times New Roman" w:hAnsi="Times New Roman" w:cs="Times New Roman"/>
                <w:sz w:val="20"/>
                <w:szCs w:val="20"/>
              </w:rPr>
              <w:t>01</w:t>
            </w:r>
          </w:p>
        </w:tc>
        <w:tc>
          <w:tcPr>
            <w:tcW w:w="1276" w:type="dxa"/>
            <w:vAlign w:val="center"/>
          </w:tcPr>
          <w:p w14:paraId="659EDF3D" w14:textId="7400D871" w:rsidR="00B45C45" w:rsidRPr="009009F9" w:rsidRDefault="00B45C45" w:rsidP="00B45C45">
            <w:pPr>
              <w:spacing w:after="0"/>
              <w:jc w:val="center"/>
              <w:rPr>
                <w:rFonts w:ascii="Times New Roman" w:hAnsi="Times New Roman" w:cs="Times New Roman"/>
                <w:sz w:val="20"/>
                <w:szCs w:val="20"/>
              </w:rPr>
            </w:pPr>
            <w:r>
              <w:rPr>
                <w:rFonts w:ascii="Times New Roman" w:hAnsi="Times New Roman" w:cs="Times New Roman"/>
                <w:sz w:val="20"/>
                <w:szCs w:val="20"/>
              </w:rPr>
              <w:t>SERV</w:t>
            </w:r>
          </w:p>
        </w:tc>
        <w:tc>
          <w:tcPr>
            <w:tcW w:w="3969" w:type="dxa"/>
            <w:vAlign w:val="center"/>
          </w:tcPr>
          <w:p w14:paraId="7256299D" w14:textId="77777777" w:rsidR="00B45C45" w:rsidRPr="00B45C45" w:rsidRDefault="00B45C45" w:rsidP="00B45C45">
            <w:pPr>
              <w:spacing w:after="0" w:line="240" w:lineRule="auto"/>
              <w:jc w:val="both"/>
              <w:rPr>
                <w:rFonts w:ascii="Times New Roman" w:hAnsi="Times New Roman" w:cs="Times New Roman"/>
              </w:rPr>
            </w:pPr>
            <w:r w:rsidRPr="00E5247E">
              <w:rPr>
                <w:rFonts w:cs="Arial"/>
              </w:rPr>
              <w:br/>
            </w:r>
            <w:r w:rsidRPr="00B45C45">
              <w:rPr>
                <w:rFonts w:ascii="Times New Roman" w:hAnsi="Times New Roman" w:cs="Times New Roman"/>
              </w:rPr>
              <w:t>Execução da decoração de embelezamento urbano do evento Natal luz e paz/2023, no município de Cacique Doble, compreendendo:</w:t>
            </w:r>
          </w:p>
          <w:p w14:paraId="40CFF289" w14:textId="77777777" w:rsidR="00B45C45" w:rsidRP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Montagem de toda decoração de natal em todos os pontos da cidade citados no Termo de Referência;</w:t>
            </w:r>
          </w:p>
          <w:p w14:paraId="6E875F7F" w14:textId="082F95DC" w:rsidR="00B45C45" w:rsidRP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Confecção de todos os artefatos em madeira em pavilhão, e montagem nos locais especificados Termo de Referência;</w:t>
            </w:r>
          </w:p>
          <w:p w14:paraId="5A6787E4" w14:textId="77777777" w:rsidR="00B45C45" w:rsidRP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Acompanhamento e manutenção dos enfeites (se necessário) durante toda a duração do evento.</w:t>
            </w:r>
          </w:p>
          <w:p w14:paraId="41A65081" w14:textId="77777777" w:rsid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lastRenderedPageBreak/>
              <w:t xml:space="preserve"> - Montagem do croqui dos pontos de ligação na rede elétrica.</w:t>
            </w:r>
          </w:p>
          <w:p w14:paraId="50D5204D" w14:textId="4FDAF938" w:rsidR="00B45C45" w:rsidRP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Execução da iluminação natalina conforme Termo de Referência;</w:t>
            </w:r>
          </w:p>
          <w:p w14:paraId="6075739D" w14:textId="77777777" w:rsidR="007123CA"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Execução de toda a iluminação de embelezamento urbano natal luz e paz.</w:t>
            </w:r>
            <w:r w:rsidRPr="00B45C45">
              <w:rPr>
                <w:rFonts w:ascii="Times New Roman" w:hAnsi="Times New Roman" w:cs="Times New Roman"/>
              </w:rPr>
              <w:br/>
              <w:t>- Montagem, instalação e retirada após evento de toda iluminação de natal em todos os pontos da cidade citados no termo de referência</w:t>
            </w:r>
            <w:r w:rsidR="007123CA">
              <w:rPr>
                <w:rFonts w:ascii="Times New Roman" w:hAnsi="Times New Roman" w:cs="Times New Roman"/>
              </w:rPr>
              <w:t xml:space="preserve"> </w:t>
            </w:r>
          </w:p>
          <w:p w14:paraId="556655DF" w14:textId="5DBB013B" w:rsidR="007123CA" w:rsidRDefault="007123CA" w:rsidP="00B45C45">
            <w:pPr>
              <w:spacing w:after="0" w:line="240" w:lineRule="auto"/>
              <w:jc w:val="both"/>
              <w:rPr>
                <w:rFonts w:ascii="Times New Roman" w:hAnsi="Times New Roman" w:cs="Times New Roman"/>
              </w:rPr>
            </w:pPr>
            <w:r>
              <w:rPr>
                <w:rFonts w:ascii="Times New Roman" w:hAnsi="Times New Roman" w:cs="Times New Roman"/>
              </w:rPr>
              <w:t>-</w:t>
            </w:r>
            <w:r w:rsidRPr="00B45C45">
              <w:rPr>
                <w:rFonts w:ascii="Times New Roman" w:hAnsi="Times New Roman" w:cs="Times New Roman"/>
              </w:rPr>
              <w:t>Todo o</w:t>
            </w:r>
            <w:r w:rsidR="00B45C45" w:rsidRPr="00B45C45">
              <w:rPr>
                <w:rFonts w:ascii="Times New Roman" w:hAnsi="Times New Roman" w:cs="Times New Roman"/>
              </w:rPr>
              <w:t xml:space="preserve"> sistema de iluminação será ligado de forma sequencial e as cargas devem ser balanceadas.</w:t>
            </w:r>
          </w:p>
          <w:p w14:paraId="1B450816" w14:textId="15351544" w:rsidR="00B45C45" w:rsidRPr="00B45C45" w:rsidRDefault="007123CA" w:rsidP="00B45C45">
            <w:pPr>
              <w:spacing w:after="0" w:line="240" w:lineRule="auto"/>
              <w:jc w:val="both"/>
              <w:rPr>
                <w:rFonts w:ascii="Times New Roman" w:hAnsi="Times New Roman" w:cs="Times New Roman"/>
              </w:rPr>
            </w:pPr>
            <w:r>
              <w:rPr>
                <w:rFonts w:ascii="Times New Roman" w:hAnsi="Times New Roman" w:cs="Times New Roman"/>
              </w:rPr>
              <w:t>-A</w:t>
            </w:r>
            <w:r w:rsidR="00B45C45" w:rsidRPr="00B45C45">
              <w:rPr>
                <w:rFonts w:ascii="Times New Roman" w:hAnsi="Times New Roman" w:cs="Times New Roman"/>
              </w:rPr>
              <w:t>companhamento e manutenção dos enfeites (se necessário) durante toda a duração do evento.</w:t>
            </w:r>
          </w:p>
          <w:p w14:paraId="4253ECDD" w14:textId="77777777" w:rsidR="00B45C45" w:rsidRPr="00B45C45" w:rsidRDefault="00B45C45" w:rsidP="00B45C45">
            <w:pPr>
              <w:spacing w:after="0" w:line="240" w:lineRule="auto"/>
              <w:jc w:val="both"/>
              <w:rPr>
                <w:rFonts w:ascii="Times New Roman" w:hAnsi="Times New Roman" w:cs="Times New Roman"/>
              </w:rPr>
            </w:pPr>
            <w:r w:rsidRPr="00B45C45">
              <w:rPr>
                <w:rFonts w:ascii="Times New Roman" w:hAnsi="Times New Roman" w:cs="Times New Roman"/>
              </w:rPr>
              <w:t>- Desmontagem e Manutenção de todos os enfeites existentes.</w:t>
            </w:r>
          </w:p>
          <w:p w14:paraId="38B502A1" w14:textId="71C6CA92" w:rsidR="00B45C45" w:rsidRPr="009009F9" w:rsidRDefault="00B45C45" w:rsidP="00B45C45">
            <w:pPr>
              <w:spacing w:after="0" w:line="240" w:lineRule="auto"/>
              <w:jc w:val="both"/>
              <w:rPr>
                <w:rFonts w:ascii="Times New Roman" w:eastAsia="Times New Roman" w:hAnsi="Times New Roman"/>
                <w:sz w:val="20"/>
                <w:szCs w:val="20"/>
              </w:rPr>
            </w:pPr>
          </w:p>
        </w:tc>
        <w:tc>
          <w:tcPr>
            <w:tcW w:w="1062" w:type="dxa"/>
            <w:vAlign w:val="center"/>
          </w:tcPr>
          <w:p w14:paraId="13329B74" w14:textId="718A2299" w:rsidR="00B45C45" w:rsidRPr="009009F9" w:rsidRDefault="00B45C45" w:rsidP="00B45C45">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w:t>
            </w:r>
          </w:p>
        </w:tc>
        <w:tc>
          <w:tcPr>
            <w:tcW w:w="1348" w:type="dxa"/>
            <w:vAlign w:val="center"/>
          </w:tcPr>
          <w:p w14:paraId="17827720" w14:textId="642AC621" w:rsidR="00B45C45" w:rsidRPr="009009F9" w:rsidRDefault="00B45C45" w:rsidP="00B45C45">
            <w:pPr>
              <w:spacing w:after="0"/>
              <w:rPr>
                <w:rFonts w:ascii="Times New Roman" w:hAnsi="Times New Roman" w:cs="Times New Roman"/>
                <w:b/>
                <w:sz w:val="20"/>
                <w:szCs w:val="20"/>
              </w:rPr>
            </w:pPr>
            <w:r w:rsidRPr="009009F9">
              <w:rPr>
                <w:rFonts w:ascii="Times New Roman" w:eastAsia="Times New Roman" w:hAnsi="Times New Roman"/>
                <w:b/>
                <w:sz w:val="20"/>
                <w:szCs w:val="20"/>
              </w:rPr>
              <w:t xml:space="preserve">R$ </w:t>
            </w:r>
            <w:r>
              <w:rPr>
                <w:rFonts w:ascii="Times New Roman" w:eastAsia="Times New Roman" w:hAnsi="Times New Roman"/>
                <w:b/>
                <w:sz w:val="20"/>
                <w:szCs w:val="20"/>
              </w:rPr>
              <w:t>33.500,00</w:t>
            </w:r>
          </w:p>
        </w:tc>
        <w:tc>
          <w:tcPr>
            <w:tcW w:w="1417" w:type="dxa"/>
            <w:vAlign w:val="center"/>
          </w:tcPr>
          <w:p w14:paraId="0320D321" w14:textId="3B073BC6" w:rsidR="00B45C45" w:rsidRPr="009009F9" w:rsidRDefault="00B45C45" w:rsidP="00B45C45">
            <w:pPr>
              <w:spacing w:after="0"/>
              <w:rPr>
                <w:rFonts w:ascii="Times New Roman" w:hAnsi="Times New Roman" w:cs="Times New Roman"/>
                <w:b/>
                <w:sz w:val="20"/>
                <w:szCs w:val="20"/>
              </w:rPr>
            </w:pPr>
            <w:r w:rsidRPr="009009F9">
              <w:rPr>
                <w:rFonts w:ascii="Times New Roman" w:eastAsia="Times New Roman" w:hAnsi="Times New Roman"/>
                <w:b/>
                <w:sz w:val="20"/>
                <w:szCs w:val="20"/>
              </w:rPr>
              <w:t xml:space="preserve">R$ </w:t>
            </w:r>
            <w:r>
              <w:rPr>
                <w:rFonts w:ascii="Times New Roman" w:eastAsia="Times New Roman" w:hAnsi="Times New Roman"/>
                <w:b/>
                <w:sz w:val="20"/>
                <w:szCs w:val="20"/>
              </w:rPr>
              <w:t>33.500,00</w:t>
            </w:r>
          </w:p>
        </w:tc>
      </w:tr>
    </w:tbl>
    <w:p w14:paraId="15058655" w14:textId="1E92651F" w:rsidR="004D6016" w:rsidRDefault="008E7191" w:rsidP="008E7191">
      <w:pPr>
        <w:pStyle w:val="Nivel01Titulo"/>
        <w:numPr>
          <w:ilvl w:val="0"/>
          <w:numId w:val="0"/>
        </w:numPr>
        <w:spacing w:before="0"/>
        <w:rPr>
          <w:rFonts w:ascii="Times New Roman" w:hAnsi="Times New Roman"/>
          <w:b w:val="0"/>
          <w:color w:val="000000" w:themeColor="text1"/>
          <w:sz w:val="24"/>
        </w:rPr>
      </w:pPr>
      <w:r>
        <w:rPr>
          <w:rFonts w:ascii="Times New Roman" w:hAnsi="Times New Roman"/>
          <w:b w:val="0"/>
          <w:color w:val="000000" w:themeColor="text1"/>
          <w:sz w:val="24"/>
        </w:rPr>
        <w:t xml:space="preserve"> </w:t>
      </w:r>
    </w:p>
    <w:p w14:paraId="090D4722" w14:textId="236CB167" w:rsidR="007D1C84" w:rsidRPr="001E2C8D" w:rsidRDefault="007D1C84" w:rsidP="0064036D">
      <w:pPr>
        <w:numPr>
          <w:ilvl w:val="1"/>
          <w:numId w:val="2"/>
        </w:numPr>
        <w:spacing w:before="120" w:after="120" w:line="276"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673C5903" w:rsidR="00BD3081" w:rsidRPr="000C6BA2" w:rsidRDefault="00BD3081" w:rsidP="0064036D">
      <w:pPr>
        <w:numPr>
          <w:ilvl w:val="1"/>
          <w:numId w:val="6"/>
        </w:numPr>
        <w:spacing w:before="120" w:after="120" w:line="276" w:lineRule="auto"/>
        <w:ind w:left="567"/>
        <w:jc w:val="both"/>
        <w:rPr>
          <w:rFonts w:ascii="Times New Roman" w:hAnsi="Times New Roman" w:cs="Times New Roman"/>
          <w:bCs/>
          <w:i/>
          <w:sz w:val="24"/>
          <w:szCs w:val="24"/>
        </w:rPr>
      </w:pPr>
      <w:r w:rsidRPr="000C6BA2">
        <w:rPr>
          <w:rFonts w:ascii="Times New Roman" w:hAnsi="Times New Roman" w:cs="Times New Roman"/>
          <w:bCs/>
          <w:i/>
          <w:sz w:val="24"/>
          <w:szCs w:val="24"/>
        </w:rPr>
        <w:t xml:space="preserve">O prazo de vigência da contratação é de </w:t>
      </w:r>
      <w:r w:rsidR="007123CA">
        <w:rPr>
          <w:rFonts w:ascii="Times New Roman" w:hAnsi="Times New Roman" w:cs="Times New Roman"/>
          <w:b/>
          <w:bCs/>
          <w:i/>
          <w:sz w:val="24"/>
          <w:szCs w:val="24"/>
          <w:u w:val="single"/>
        </w:rPr>
        <w:t>07 de novembro de 2023 até 31 de janeiro de 2024</w:t>
      </w:r>
      <w:r w:rsidRPr="000C6BA2">
        <w:rPr>
          <w:rFonts w:ascii="Times New Roman" w:hAnsi="Times New Roman" w:cs="Times New Roman"/>
          <w:bCs/>
          <w:i/>
          <w:sz w:val="24"/>
          <w:szCs w:val="24"/>
        </w:rPr>
        <w:t>, prorrogável, na forma da Lei n° 14.133/2021.</w:t>
      </w:r>
    </w:p>
    <w:p w14:paraId="514265ED" w14:textId="5903EA4C"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TERCEIRA</w:t>
      </w:r>
    </w:p>
    <w:p w14:paraId="607042C3" w14:textId="58968B03"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w:t>
      </w:r>
      <w:r w:rsidR="007302D2">
        <w:rPr>
          <w:rFonts w:ascii="Times New Roman" w:hAnsi="Times New Roman" w:cs="Times New Roman"/>
          <w:color w:val="000000" w:themeColor="text1"/>
          <w:sz w:val="24"/>
          <w:szCs w:val="24"/>
        </w:rPr>
        <w:t>respectivo processo</w:t>
      </w:r>
      <w:r w:rsidRPr="002B5F86">
        <w:rPr>
          <w:rFonts w:ascii="Times New Roman" w:hAnsi="Times New Roman" w:cs="Times New Roman"/>
          <w:color w:val="000000" w:themeColor="text1"/>
          <w:sz w:val="24"/>
          <w:szCs w:val="24"/>
        </w:rPr>
        <w:t xml:space="preserve">, </w:t>
      </w:r>
      <w:r w:rsidR="007302D2">
        <w:rPr>
          <w:rFonts w:ascii="Times New Roman" w:hAnsi="Times New Roman" w:cs="Times New Roman"/>
          <w:color w:val="000000" w:themeColor="text1"/>
          <w:sz w:val="24"/>
          <w:szCs w:val="24"/>
        </w:rPr>
        <w:t xml:space="preserve">e </w:t>
      </w:r>
      <w:r w:rsidRPr="002B5F86">
        <w:rPr>
          <w:rFonts w:ascii="Times New Roman" w:hAnsi="Times New Roman" w:cs="Times New Roman"/>
          <w:color w:val="000000" w:themeColor="text1"/>
          <w:sz w:val="24"/>
          <w:szCs w:val="24"/>
        </w:rPr>
        <w:t>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7530C5"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7530C5">
        <w:rPr>
          <w:rFonts w:ascii="Times New Roman" w:hAnsi="Times New Roman" w:cs="Times New Roman"/>
          <w:i/>
          <w:sz w:val="24"/>
          <w:szCs w:val="24"/>
        </w:rPr>
        <w:t xml:space="preserve">Não será admitida a subcontratação do objeto </w:t>
      </w:r>
      <w:r w:rsidR="00E525C3" w:rsidRPr="007530C5">
        <w:rPr>
          <w:rFonts w:ascii="Times New Roman" w:hAnsi="Times New Roman" w:cs="Times New Roman"/>
          <w:i/>
          <w:sz w:val="24"/>
          <w:szCs w:val="24"/>
        </w:rPr>
        <w:t>contratual</w:t>
      </w:r>
      <w:r w:rsidR="003264D3" w:rsidRPr="007530C5">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21B59C44" w14:textId="26F849AE" w:rsidR="006529DC" w:rsidRPr="007D4AD0" w:rsidRDefault="00FA7CCC" w:rsidP="007123CA">
      <w:pPr>
        <w:spacing w:before="240" w:after="120" w:line="276" w:lineRule="auto"/>
        <w:ind w:left="567"/>
        <w:jc w:val="both"/>
        <w:rPr>
          <w:rFonts w:ascii="Times New Roman" w:hAnsi="Times New Roman" w:cs="Times New Roman"/>
          <w:iCs/>
          <w:sz w:val="24"/>
          <w:szCs w:val="24"/>
        </w:rPr>
      </w:pPr>
      <w:r w:rsidRPr="007D4AD0">
        <w:rPr>
          <w:rFonts w:ascii="Times New Roman" w:hAnsi="Times New Roman" w:cs="Times New Roman"/>
          <w:b/>
          <w:sz w:val="24"/>
          <w:szCs w:val="24"/>
        </w:rPr>
        <w:t>5.1</w:t>
      </w:r>
      <w:r w:rsidRPr="007D4AD0">
        <w:rPr>
          <w:rFonts w:ascii="Times New Roman" w:hAnsi="Times New Roman" w:cs="Times New Roman"/>
          <w:i/>
          <w:sz w:val="24"/>
          <w:szCs w:val="24"/>
        </w:rPr>
        <w:t xml:space="preserve"> </w:t>
      </w:r>
      <w:r w:rsidR="006E7AF1" w:rsidRPr="007D4AD0">
        <w:rPr>
          <w:rFonts w:ascii="Times New Roman" w:hAnsi="Times New Roman" w:cs="Times New Roman"/>
          <w:i/>
          <w:sz w:val="24"/>
          <w:szCs w:val="24"/>
        </w:rPr>
        <w:t xml:space="preserve">O valor </w:t>
      </w:r>
      <w:r w:rsidR="003264D3" w:rsidRPr="007D4AD0">
        <w:rPr>
          <w:rFonts w:ascii="Times New Roman" w:hAnsi="Times New Roman" w:cs="Times New Roman"/>
          <w:i/>
          <w:sz w:val="24"/>
          <w:szCs w:val="24"/>
        </w:rPr>
        <w:t xml:space="preserve">total do objeto é de </w:t>
      </w:r>
      <w:r w:rsidRPr="007D4AD0">
        <w:rPr>
          <w:rFonts w:ascii="Times New Roman" w:hAnsi="Times New Roman" w:cs="Times New Roman"/>
          <w:b/>
          <w:i/>
          <w:sz w:val="24"/>
          <w:szCs w:val="24"/>
        </w:rPr>
        <w:t xml:space="preserve">R$ </w:t>
      </w:r>
      <w:r w:rsidR="007123CA" w:rsidRPr="007D4AD0">
        <w:rPr>
          <w:rFonts w:ascii="Times New Roman" w:hAnsi="Times New Roman" w:cs="Times New Roman"/>
          <w:b/>
          <w:i/>
          <w:sz w:val="24"/>
          <w:szCs w:val="24"/>
        </w:rPr>
        <w:t>33.500,00</w:t>
      </w:r>
      <w:r w:rsidR="00890C6D" w:rsidRPr="007D4AD0">
        <w:rPr>
          <w:rFonts w:ascii="Times New Roman" w:hAnsi="Times New Roman" w:cs="Times New Roman"/>
          <w:b/>
          <w:i/>
          <w:sz w:val="24"/>
          <w:szCs w:val="24"/>
        </w:rPr>
        <w:t xml:space="preserve"> </w:t>
      </w:r>
      <w:r w:rsidR="007302D2" w:rsidRPr="007D4AD0">
        <w:rPr>
          <w:rFonts w:ascii="Times New Roman" w:hAnsi="Times New Roman" w:cs="Times New Roman"/>
          <w:b/>
          <w:i/>
          <w:sz w:val="24"/>
          <w:szCs w:val="24"/>
        </w:rPr>
        <w:t>(</w:t>
      </w:r>
      <w:r w:rsidR="007123CA" w:rsidRPr="007D4AD0">
        <w:rPr>
          <w:rFonts w:ascii="Times New Roman" w:hAnsi="Times New Roman" w:cs="Times New Roman"/>
          <w:b/>
          <w:i/>
          <w:sz w:val="24"/>
          <w:szCs w:val="24"/>
        </w:rPr>
        <w:t>trinta e três mim e quinhentos reais</w:t>
      </w:r>
      <w:r w:rsidR="007302D2" w:rsidRPr="007D4AD0">
        <w:rPr>
          <w:rFonts w:ascii="Times New Roman" w:hAnsi="Times New Roman" w:cs="Times New Roman"/>
          <w:b/>
          <w:i/>
          <w:sz w:val="24"/>
          <w:szCs w:val="24"/>
        </w:rPr>
        <w:t>)</w:t>
      </w:r>
      <w:r w:rsidR="003264D3" w:rsidRPr="007D4AD0">
        <w:rPr>
          <w:rFonts w:ascii="Times New Roman" w:hAnsi="Times New Roman" w:cs="Times New Roman"/>
          <w:i/>
          <w:sz w:val="24"/>
          <w:szCs w:val="24"/>
        </w:rPr>
        <w:t xml:space="preserve"> </w:t>
      </w:r>
      <w:r w:rsidR="007302D2" w:rsidRPr="007D4AD0">
        <w:rPr>
          <w:rFonts w:ascii="Times New Roman" w:hAnsi="Times New Roman" w:cs="Times New Roman"/>
          <w:i/>
          <w:sz w:val="24"/>
          <w:szCs w:val="24"/>
        </w:rPr>
        <w:t xml:space="preserve">sendo pago </w:t>
      </w:r>
      <w:r w:rsidR="007123CA" w:rsidRPr="007D4AD0">
        <w:rPr>
          <w:rFonts w:ascii="Times New Roman" w:hAnsi="Times New Roman" w:cs="Times New Roman"/>
          <w:i/>
          <w:sz w:val="24"/>
          <w:szCs w:val="24"/>
        </w:rPr>
        <w:t>em parcela única</w:t>
      </w:r>
      <w:r w:rsidR="007302D2" w:rsidRPr="007D4AD0">
        <w:rPr>
          <w:rFonts w:ascii="Times New Roman" w:hAnsi="Times New Roman" w:cs="Times New Roman"/>
          <w:i/>
          <w:sz w:val="24"/>
          <w:szCs w:val="24"/>
        </w:rPr>
        <w:t xml:space="preserve"> de </w:t>
      </w:r>
      <w:r w:rsidRPr="007D4AD0">
        <w:rPr>
          <w:rFonts w:ascii="Times New Roman" w:hAnsi="Times New Roman" w:cs="Times New Roman"/>
          <w:b/>
          <w:i/>
          <w:sz w:val="24"/>
          <w:szCs w:val="24"/>
        </w:rPr>
        <w:t xml:space="preserve">R$ </w:t>
      </w:r>
      <w:r w:rsidR="007123CA" w:rsidRPr="007D4AD0">
        <w:rPr>
          <w:rFonts w:ascii="Times New Roman" w:hAnsi="Times New Roman" w:cs="Times New Roman"/>
          <w:b/>
          <w:i/>
          <w:sz w:val="24"/>
          <w:szCs w:val="24"/>
        </w:rPr>
        <w:t>33.500,00</w:t>
      </w:r>
      <w:r w:rsidRPr="007D4AD0">
        <w:rPr>
          <w:rFonts w:ascii="Times New Roman" w:hAnsi="Times New Roman" w:cs="Times New Roman"/>
          <w:b/>
          <w:i/>
          <w:sz w:val="24"/>
          <w:szCs w:val="24"/>
        </w:rPr>
        <w:t xml:space="preserve"> </w:t>
      </w:r>
      <w:r w:rsidR="007302D2" w:rsidRPr="007D4AD0">
        <w:rPr>
          <w:rFonts w:ascii="Times New Roman" w:hAnsi="Times New Roman" w:cs="Times New Roman"/>
          <w:i/>
          <w:sz w:val="24"/>
          <w:szCs w:val="24"/>
        </w:rPr>
        <w:t>(</w:t>
      </w:r>
      <w:r w:rsidR="007123CA" w:rsidRPr="007D4AD0">
        <w:rPr>
          <w:rFonts w:ascii="Times New Roman" w:hAnsi="Times New Roman" w:cs="Times New Roman"/>
          <w:i/>
          <w:sz w:val="24"/>
          <w:szCs w:val="24"/>
        </w:rPr>
        <w:t>trinta e três mil e quinhentos reais)</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lastRenderedPageBreak/>
        <w:t>FORMA DE PAGAMENTO</w:t>
      </w:r>
    </w:p>
    <w:p w14:paraId="1A50DC44" w14:textId="188F58F2" w:rsidR="00D0142A" w:rsidRDefault="00FA7CCC" w:rsidP="000C6BA2">
      <w:pPr>
        <w:spacing w:before="120" w:after="120" w:line="276" w:lineRule="auto"/>
        <w:ind w:left="567"/>
        <w:jc w:val="both"/>
        <w:rPr>
          <w:rFonts w:ascii="Times New Roman" w:hAnsi="Times New Roman" w:cs="Times New Roman"/>
          <w:i/>
          <w:sz w:val="24"/>
          <w:szCs w:val="24"/>
        </w:rPr>
      </w:pPr>
      <w:r w:rsidRPr="000C6BA2">
        <w:rPr>
          <w:rFonts w:ascii="Times New Roman" w:hAnsi="Times New Roman" w:cs="Times New Roman"/>
          <w:b/>
          <w:sz w:val="24"/>
          <w:szCs w:val="24"/>
        </w:rPr>
        <w:t>5.1</w:t>
      </w:r>
      <w:r w:rsidRPr="000C6BA2">
        <w:rPr>
          <w:rFonts w:ascii="Times New Roman" w:hAnsi="Times New Roman" w:cs="Times New Roman"/>
          <w:i/>
          <w:sz w:val="24"/>
          <w:szCs w:val="24"/>
        </w:rPr>
        <w:t xml:space="preserve"> </w:t>
      </w:r>
      <w:r w:rsidR="006E7AF1" w:rsidRPr="000C6BA2">
        <w:rPr>
          <w:rFonts w:ascii="Times New Roman" w:hAnsi="Times New Roman" w:cs="Times New Roman"/>
          <w:i/>
          <w:sz w:val="24"/>
          <w:szCs w:val="24"/>
        </w:rPr>
        <w:t>O pagamento será realizado através de ordem bancária</w:t>
      </w:r>
      <w:r w:rsidR="00DF1238" w:rsidRPr="000C6BA2">
        <w:rPr>
          <w:rFonts w:ascii="Times New Roman" w:hAnsi="Times New Roman" w:cs="Times New Roman"/>
          <w:i/>
          <w:sz w:val="24"/>
          <w:szCs w:val="24"/>
        </w:rPr>
        <w:t xml:space="preserve"> (transferência)</w:t>
      </w:r>
      <w:r w:rsidR="006E7AF1" w:rsidRPr="000C6BA2">
        <w:rPr>
          <w:rFonts w:ascii="Times New Roman" w:hAnsi="Times New Roman" w:cs="Times New Roman"/>
          <w:i/>
          <w:sz w:val="24"/>
          <w:szCs w:val="24"/>
        </w:rPr>
        <w:t>, para crédito em banco, agência e conta corrente indicados pel</w:t>
      </w:r>
      <w:r w:rsidR="00854B73" w:rsidRPr="000C6BA2">
        <w:rPr>
          <w:rFonts w:ascii="Times New Roman" w:hAnsi="Times New Roman" w:cs="Times New Roman"/>
          <w:i/>
          <w:sz w:val="24"/>
          <w:szCs w:val="24"/>
        </w:rPr>
        <w:t>a</w:t>
      </w:r>
      <w:r w:rsidR="006E7AF1" w:rsidRPr="000C6BA2">
        <w:rPr>
          <w:rFonts w:ascii="Times New Roman" w:hAnsi="Times New Roman" w:cs="Times New Roman"/>
          <w:i/>
          <w:sz w:val="24"/>
          <w:szCs w:val="24"/>
        </w:rPr>
        <w:t xml:space="preserve"> contratad</w:t>
      </w:r>
      <w:r w:rsidR="00854B73" w:rsidRPr="000C6BA2">
        <w:rPr>
          <w:rFonts w:ascii="Times New Roman" w:hAnsi="Times New Roman" w:cs="Times New Roman"/>
          <w:i/>
          <w:sz w:val="24"/>
          <w:szCs w:val="24"/>
        </w:rPr>
        <w:t>a</w:t>
      </w:r>
      <w:r w:rsidR="006E7AF1" w:rsidRPr="000C6BA2">
        <w:rPr>
          <w:rFonts w:ascii="Times New Roman" w:hAnsi="Times New Roman" w:cs="Times New Roman"/>
          <w:i/>
          <w:sz w:val="24"/>
          <w:szCs w:val="24"/>
        </w:rPr>
        <w:t>.</w:t>
      </w:r>
    </w:p>
    <w:p w14:paraId="4E53FEF9" w14:textId="77777777" w:rsidR="000C6BA2" w:rsidRPr="000C6BA2" w:rsidRDefault="000C6BA2" w:rsidP="000C6BA2">
      <w:pPr>
        <w:spacing w:before="120" w:after="120" w:line="276" w:lineRule="auto"/>
        <w:ind w:left="567"/>
        <w:jc w:val="both"/>
        <w:rPr>
          <w:rFonts w:ascii="Times New Roman" w:hAnsi="Times New Roman" w:cs="Times New Roman"/>
          <w:i/>
          <w:sz w:val="24"/>
          <w:szCs w:val="24"/>
        </w:rPr>
      </w:pPr>
    </w:p>
    <w:p w14:paraId="23F6DF8E" w14:textId="43B67863"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DE5F8B"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DE5F8B">
        <w:rPr>
          <w:rFonts w:ascii="Times New Roman" w:hAnsi="Times New Roman" w:cs="Times New Roman"/>
          <w:sz w:val="24"/>
          <w:szCs w:val="24"/>
        </w:rPr>
        <w:t>O pagamento será efetuado no prazo máximo de</w:t>
      </w:r>
      <w:r w:rsidRPr="00DE5F8B">
        <w:rPr>
          <w:rFonts w:ascii="Times New Roman" w:eastAsia="Arial" w:hAnsi="Times New Roman" w:cs="Times New Roman"/>
          <w:sz w:val="24"/>
          <w:szCs w:val="24"/>
        </w:rPr>
        <w:t xml:space="preserve"> até </w:t>
      </w:r>
      <w:r w:rsidR="000964A1" w:rsidRPr="00DE5F8B">
        <w:rPr>
          <w:rFonts w:ascii="Times New Roman" w:eastAsia="Arial" w:hAnsi="Times New Roman" w:cs="Times New Roman"/>
          <w:sz w:val="24"/>
          <w:szCs w:val="24"/>
        </w:rPr>
        <w:t>15</w:t>
      </w:r>
      <w:r w:rsidRPr="00DE5F8B">
        <w:rPr>
          <w:rFonts w:ascii="Times New Roman" w:eastAsia="Arial" w:hAnsi="Times New Roman" w:cs="Times New Roman"/>
          <w:sz w:val="24"/>
          <w:szCs w:val="24"/>
        </w:rPr>
        <w:t xml:space="preserve"> (</w:t>
      </w:r>
      <w:r w:rsidR="000964A1" w:rsidRPr="00DE5F8B">
        <w:rPr>
          <w:rFonts w:ascii="Times New Roman" w:eastAsia="Arial" w:hAnsi="Times New Roman" w:cs="Times New Roman"/>
          <w:sz w:val="24"/>
          <w:szCs w:val="24"/>
        </w:rPr>
        <w:t>quinze</w:t>
      </w:r>
      <w:r w:rsidRPr="00DE5F8B">
        <w:rPr>
          <w:rFonts w:ascii="Times New Roman" w:eastAsia="Arial" w:hAnsi="Times New Roman" w:cs="Times New Roman"/>
          <w:sz w:val="24"/>
          <w:szCs w:val="24"/>
        </w:rPr>
        <w:t xml:space="preserve">) </w:t>
      </w:r>
      <w:r w:rsidRPr="00DE5F8B">
        <w:rPr>
          <w:rFonts w:ascii="Times New Roman" w:hAnsi="Times New Roman" w:cs="Times New Roman"/>
          <w:sz w:val="24"/>
          <w:szCs w:val="24"/>
        </w:rPr>
        <w:t>dias, contados do recebimento da Nota Fiscal/Fatura</w:t>
      </w:r>
      <w:r w:rsidR="00C95979" w:rsidRPr="00DE5F8B">
        <w:rPr>
          <w:rFonts w:ascii="Times New Roman" w:hAnsi="Times New Roman" w:cs="Times New Roman"/>
          <w:sz w:val="24"/>
          <w:szCs w:val="24"/>
        </w:rPr>
        <w:t xml:space="preserve"> e comprovação da execução dos serviços correspondentes, nas condições da cláusula quinta</w:t>
      </w:r>
      <w:r w:rsidRPr="00DE5F8B">
        <w:rPr>
          <w:rFonts w:ascii="Times New Roman" w:hAnsi="Times New Roman" w:cs="Times New Roman"/>
          <w:sz w:val="24"/>
          <w:szCs w:val="24"/>
        </w:rPr>
        <w:t>.</w:t>
      </w:r>
    </w:p>
    <w:p w14:paraId="7DEE6702" w14:textId="53F4ADB6"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247A3370" w14:textId="2056D415" w:rsidR="00854B73" w:rsidRPr="007123CA" w:rsidRDefault="00F37100" w:rsidP="007123CA">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854B73">
        <w:rPr>
          <w:rFonts w:ascii="Times New Roman" w:hAnsi="Times New Roman" w:cs="Times New Roman"/>
          <w:i/>
          <w:iCs/>
          <w:sz w:val="24"/>
          <w:szCs w:val="24"/>
        </w:rPr>
        <w:t>IPCA</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r w:rsidR="007123CA">
        <w:rPr>
          <w:rFonts w:ascii="Times New Roman" w:hAnsi="Times New Roman" w:cs="Times New Roman"/>
          <w:color w:val="000000" w:themeColor="text1"/>
          <w:sz w:val="24"/>
          <w:szCs w:val="24"/>
        </w:rPr>
        <w:t>.</w:t>
      </w:r>
    </w:p>
    <w:p w14:paraId="41174DE8" w14:textId="77777777" w:rsidR="00854B73" w:rsidRPr="001E2C8D" w:rsidRDefault="00854B73" w:rsidP="00C95979">
      <w:pPr>
        <w:spacing w:before="120" w:after="120" w:line="276" w:lineRule="auto"/>
        <w:ind w:left="1134"/>
        <w:jc w:val="both"/>
        <w:rPr>
          <w:rFonts w:ascii="Times New Roman" w:hAnsi="Times New Roman" w:cs="Times New Roman"/>
          <w:color w:val="000000" w:themeColor="text1"/>
          <w:sz w:val="24"/>
          <w:szCs w:val="24"/>
        </w:rPr>
      </w:pP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xml:space="preserve">, o pagamento ficará sobrestado até que o contratado providencie as medidas saneadoras. Nesta hipótese, o prazo para </w:t>
      </w:r>
      <w:r w:rsidRPr="007D76C7">
        <w:rPr>
          <w:rFonts w:ascii="Times New Roman" w:hAnsi="Times New Roman" w:cs="Times New Roman"/>
          <w:iCs/>
          <w:color w:val="000000" w:themeColor="text1"/>
          <w:sz w:val="24"/>
          <w:szCs w:val="24"/>
        </w:rPr>
        <w:lastRenderedPageBreak/>
        <w:t>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SICAF ou, </w:t>
      </w:r>
      <w:r w:rsidRPr="00854B73">
        <w:rPr>
          <w:rFonts w:ascii="Times New Roman" w:hAnsi="Times New Roman" w:cs="Times New Roman"/>
          <w:b/>
          <w:sz w:val="24"/>
          <w:szCs w:val="24"/>
          <w:u w:val="single"/>
        </w:rPr>
        <w:t>na impossibilidade de acesso ao referido Sistema</w:t>
      </w:r>
      <w:r w:rsidRPr="007D76C7">
        <w:rPr>
          <w:rFonts w:ascii="Times New Roman" w:hAnsi="Times New Roman" w:cs="Times New Roman"/>
          <w:color w:val="000000" w:themeColor="text1"/>
          <w:sz w:val="24"/>
          <w:szCs w:val="24"/>
        </w:rPr>
        <w:t xml:space="preserve">,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t xml:space="preserve">   </w:t>
      </w:r>
    </w:p>
    <w:p w14:paraId="6D4C65D3" w14:textId="77777777" w:rsidR="00D0142A"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w:t>
      </w:r>
    </w:p>
    <w:p w14:paraId="2802C2A0" w14:textId="668DE9BA" w:rsidR="006E7AF1" w:rsidRPr="007D76C7" w:rsidRDefault="006E7AF1" w:rsidP="0085520B">
      <w:p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a) verificar a manutenção das condições de habilitação exigidas </w:t>
      </w:r>
      <w:r w:rsidR="007302D2">
        <w:rPr>
          <w:rFonts w:ascii="Times New Roman" w:hAnsi="Times New Roman" w:cs="Times New Roman"/>
          <w:color w:val="000000" w:themeColor="text1"/>
          <w:sz w:val="24"/>
          <w:szCs w:val="24"/>
        </w:rPr>
        <w:t>para contratação</w:t>
      </w:r>
      <w:r w:rsidRPr="007D76C7">
        <w:rPr>
          <w:rFonts w:ascii="Times New Roman" w:hAnsi="Times New Roman" w:cs="Times New Roman"/>
          <w:color w:val="000000" w:themeColor="text1"/>
          <w:sz w:val="24"/>
          <w:szCs w:val="24"/>
        </w:rPr>
        <w:t>;</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lastRenderedPageBreak/>
        <w:t xml:space="preserve">CLÁUSULA SEXTA - </w:t>
      </w:r>
      <w:r w:rsidR="00791789" w:rsidRPr="009D3272">
        <w:rPr>
          <w:rFonts w:ascii="Times New Roman" w:hAnsi="Times New Roman"/>
          <w:color w:val="000000" w:themeColor="text1"/>
          <w:sz w:val="24"/>
          <w:szCs w:val="24"/>
        </w:rPr>
        <w:t>REAJUSTE (art. 92, V)</w:t>
      </w:r>
    </w:p>
    <w:p w14:paraId="5E9599D3" w14:textId="38454F21" w:rsidR="003703F8" w:rsidRPr="003703F8" w:rsidRDefault="003703F8"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Pr>
          <w:rFonts w:ascii="Times New Roman" w:hAnsi="Times New Roman" w:cs="Times New Roman"/>
          <w:sz w:val="24"/>
          <w:szCs w:val="24"/>
          <w:lang w:eastAsia="pt-BR"/>
        </w:rPr>
        <w:t>O presente termo poderá ser reajustado por necessidade mediante apresentação de reformulação do projeto original;</w:t>
      </w:r>
    </w:p>
    <w:p w14:paraId="64221C8A" w14:textId="770D918C" w:rsidR="00791789" w:rsidRPr="00854B73"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85520B">
        <w:rPr>
          <w:rFonts w:ascii="Times New Roman" w:hAnsi="Times New Roman" w:cs="Times New Roman"/>
          <w:sz w:val="24"/>
          <w:szCs w:val="24"/>
        </w:rPr>
        <w:t xml:space="preserve">Termo Aditivo </w:t>
      </w:r>
      <w:r w:rsidR="004D13D7">
        <w:rPr>
          <w:rFonts w:ascii="Times New Roman" w:hAnsi="Times New Roman" w:cs="Times New Roman"/>
          <w:sz w:val="24"/>
          <w:szCs w:val="24"/>
        </w:rPr>
        <w:t>ou</w:t>
      </w:r>
      <w:r w:rsidR="0085520B" w:rsidRPr="0085520B">
        <w:rPr>
          <w:rFonts w:ascii="Times New Roman" w:hAnsi="Times New Roman" w:cs="Times New Roman"/>
          <w:sz w:val="24"/>
          <w:szCs w:val="24"/>
        </w:rPr>
        <w:t xml:space="preserve"> </w:t>
      </w:r>
      <w:r w:rsidR="0085520B">
        <w:rPr>
          <w:rFonts w:ascii="Times New Roman" w:hAnsi="Times New Roman" w:cs="Times New Roman"/>
          <w:sz w:val="24"/>
          <w:szCs w:val="24"/>
        </w:rPr>
        <w:t>A</w:t>
      </w:r>
      <w:r w:rsidR="0085520B" w:rsidRPr="001E2C8D">
        <w:rPr>
          <w:rFonts w:ascii="Times New Roman" w:hAnsi="Times New Roman" w:cs="Times New Roman"/>
          <w:sz w:val="24"/>
          <w:szCs w:val="24"/>
        </w:rPr>
        <w:t>postilamento</w:t>
      </w:r>
      <w:r w:rsidRPr="001E2C8D">
        <w:rPr>
          <w:rFonts w:ascii="Times New Roman" w:hAnsi="Times New Roman" w:cs="Times New Roman"/>
          <w:sz w:val="24"/>
          <w:szCs w:val="24"/>
        </w:rPr>
        <w:t>.</w:t>
      </w:r>
    </w:p>
    <w:p w14:paraId="458E05BA" w14:textId="7C4FD629" w:rsidR="00854B73" w:rsidRPr="00906074" w:rsidRDefault="00854B73"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Pr>
          <w:rFonts w:ascii="Times New Roman" w:hAnsi="Times New Roman" w:cs="Times New Roman"/>
          <w:sz w:val="24"/>
          <w:szCs w:val="24"/>
          <w:lang w:eastAsia="pt-BR"/>
        </w:rPr>
        <w:t>Poderá haver o reajust</w:t>
      </w:r>
      <w:r w:rsidR="003703F8">
        <w:rPr>
          <w:rFonts w:ascii="Times New Roman" w:hAnsi="Times New Roman" w:cs="Times New Roman"/>
          <w:sz w:val="24"/>
          <w:szCs w:val="24"/>
          <w:lang w:eastAsia="pt-BR"/>
        </w:rPr>
        <w:t>e</w:t>
      </w:r>
      <w:r>
        <w:rPr>
          <w:rFonts w:ascii="Times New Roman" w:hAnsi="Times New Roman" w:cs="Times New Roman"/>
          <w:sz w:val="24"/>
          <w:szCs w:val="24"/>
          <w:lang w:eastAsia="pt-BR"/>
        </w:rPr>
        <w:t xml:space="preserve"> por acréscimo de quantitativo, proporcional ao contratado inicialmente</w:t>
      </w:r>
      <w:r w:rsidR="003703F8">
        <w:rPr>
          <w:rFonts w:ascii="Times New Roman" w:hAnsi="Times New Roman" w:cs="Times New Roman"/>
          <w:sz w:val="24"/>
          <w:szCs w:val="24"/>
          <w:lang w:eastAsia="pt-BR"/>
        </w:rPr>
        <w:t xml:space="preserve"> observado o item 6.1;</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262E0FB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Receber o objeto no prazo e condições estabelecidas no Termo de Referência;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250F6CEA" w:rsidR="009E4201" w:rsidRPr="00DE5F8B" w:rsidRDefault="009E4201" w:rsidP="00DD427F">
      <w:pPr>
        <w:numPr>
          <w:ilvl w:val="2"/>
          <w:numId w:val="2"/>
        </w:numPr>
        <w:spacing w:before="120" w:after="120" w:line="276" w:lineRule="auto"/>
        <w:ind w:left="1134"/>
        <w:jc w:val="both"/>
        <w:rPr>
          <w:rFonts w:ascii="Times New Roman" w:hAnsi="Times New Roman" w:cs="Times New Roman"/>
          <w:b/>
          <w:sz w:val="24"/>
          <w:szCs w:val="24"/>
        </w:rPr>
      </w:pPr>
      <w:r w:rsidRPr="00DE5F8B">
        <w:rPr>
          <w:rFonts w:ascii="Times New Roman" w:hAnsi="Times New Roman" w:cs="Times New Roman"/>
          <w:b/>
          <w:sz w:val="24"/>
          <w:szCs w:val="24"/>
        </w:rPr>
        <w:t>Atuará como fiscal deste contrato</w:t>
      </w:r>
      <w:r w:rsidR="003703F8" w:rsidRPr="00DE5F8B">
        <w:rPr>
          <w:rFonts w:ascii="Times New Roman" w:hAnsi="Times New Roman" w:cs="Times New Roman"/>
          <w:b/>
          <w:sz w:val="24"/>
          <w:szCs w:val="24"/>
        </w:rPr>
        <w:t xml:space="preserve"> o senhor </w:t>
      </w:r>
      <w:r w:rsidR="003703F8" w:rsidRPr="00DE5F8B">
        <w:rPr>
          <w:rFonts w:ascii="Times New Roman" w:hAnsi="Times New Roman" w:cs="Times New Roman"/>
          <w:b/>
          <w:sz w:val="21"/>
          <w:szCs w:val="21"/>
          <w:shd w:val="clear" w:color="auto" w:fill="FFFFFF"/>
        </w:rPr>
        <w:t>Natan Roque Favaretto Vieira </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lastRenderedPageBreak/>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8E5DCE">
        <w:rPr>
          <w:rFonts w:ascii="Times New Roman" w:hAnsi="Times New Roman" w:cs="Times New Roman"/>
          <w:b/>
          <w:i/>
          <w:iCs/>
          <w:color w:val="000000" w:themeColor="text1"/>
          <w:sz w:val="24"/>
          <w:szCs w:val="24"/>
          <w:u w:val="single"/>
        </w:rPr>
        <w:lastRenderedPageBreak/>
        <w:t>Quando não for possível a verificação da regularidade no Sistema de Cadastro de Fornecedores – SICAF</w:t>
      </w:r>
      <w:r w:rsidRPr="00A3702A">
        <w:rPr>
          <w:rFonts w:ascii="Times New Roman" w:hAnsi="Times New Roman" w:cs="Times New Roman"/>
          <w:iCs/>
          <w:color w:val="000000" w:themeColor="text1"/>
          <w:sz w:val="24"/>
          <w:szCs w:val="24"/>
        </w:rPr>
        <w:t xml:space="preserve">,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lastRenderedPageBreak/>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1B99DA3A" w14:textId="77777777" w:rsidR="00DD427F" w:rsidRPr="00231898" w:rsidRDefault="00DD427F" w:rsidP="00DD427F">
      <w:pPr>
        <w:spacing w:before="120" w:after="120" w:line="276" w:lineRule="auto"/>
        <w:ind w:left="1134"/>
        <w:jc w:val="both"/>
        <w:rPr>
          <w:rFonts w:ascii="Times New Roman" w:hAnsi="Times New Roman" w:cs="Times New Roman"/>
          <w:iCs/>
          <w:color w:val="000000" w:themeColor="text1"/>
          <w:sz w:val="24"/>
          <w:szCs w:val="24"/>
        </w:rPr>
      </w:pPr>
    </w:p>
    <w:p w14:paraId="647C83AD" w14:textId="77777777" w:rsidR="00ED109F" w:rsidRPr="008E5DCE" w:rsidRDefault="00ED109F" w:rsidP="00ED109F">
      <w:pPr>
        <w:pStyle w:val="Nivel01Titulo"/>
        <w:rPr>
          <w:rFonts w:ascii="Times New Roman" w:hAnsi="Times New Roman"/>
          <w:iCs/>
          <w:color w:val="000000" w:themeColor="text1"/>
          <w:sz w:val="24"/>
          <w:szCs w:val="24"/>
        </w:rPr>
      </w:pPr>
      <w:r w:rsidRPr="008E5DCE">
        <w:rPr>
          <w:rFonts w:ascii="Times New Roman" w:hAnsi="Times New Roman"/>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lastRenderedPageBreak/>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xml:space="preserve">, quando praticadas as condutas descritas nas alíneas h, i, j, k e l do subitem acima </w:t>
      </w:r>
      <w:r w:rsidRPr="001E2C8D">
        <w:rPr>
          <w:rFonts w:ascii="Times New Roman" w:hAnsi="Times New Roman" w:cs="Times New Roman"/>
          <w:sz w:val="24"/>
          <w:szCs w:val="24"/>
        </w:rPr>
        <w:lastRenderedPageBreak/>
        <w:t>deste Contrato, bem como nas alíneas b, c, d, e, f e g, que justifiquem a imposição de penalidade mais grave (art. 156, §5º, da Lei)</w:t>
      </w:r>
    </w:p>
    <w:p w14:paraId="3CBEC04C" w14:textId="77777777" w:rsidR="00192FA4" w:rsidRPr="001E2C8D" w:rsidRDefault="00192FA4" w:rsidP="0085520B">
      <w:pPr>
        <w:numPr>
          <w:ilvl w:val="2"/>
          <w:numId w:val="26"/>
        </w:numPr>
        <w:spacing w:before="120" w:after="120" w:line="240"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1A2F940D" w:rsidR="00192FA4" w:rsidRPr="008B0550" w:rsidRDefault="00192FA4" w:rsidP="0085520B">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sobre o valor da parcela inadimplida,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85520B">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85520B">
      <w:pPr>
        <w:spacing w:before="120" w:after="120" w:line="240" w:lineRule="auto"/>
        <w:ind w:left="1701"/>
        <w:jc w:val="both"/>
        <w:rPr>
          <w:rFonts w:ascii="Times New Roman" w:hAnsi="Times New Roman" w:cs="Times New Roman"/>
          <w:color w:val="000000" w:themeColor="text1"/>
          <w:sz w:val="24"/>
          <w:szCs w:val="24"/>
        </w:rPr>
      </w:pPr>
    </w:p>
    <w:p w14:paraId="3CF5C57F" w14:textId="652DFCBF"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bookmarkStart w:id="2"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r w:rsidR="0085520B">
        <w:rPr>
          <w:rFonts w:ascii="Times New Roman" w:hAnsi="Times New Roman" w:cs="Times New Roman"/>
          <w:sz w:val="24"/>
          <w:szCs w:val="24"/>
        </w:rPr>
        <w:t>.</w:t>
      </w:r>
    </w:p>
    <w:p w14:paraId="3BA675F9" w14:textId="77777777"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2"/>
    <w:p w14:paraId="3113BC78" w14:textId="62F72A3A"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6160F55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sidR="003C1816">
        <w:rPr>
          <w:rFonts w:ascii="Times New Roman" w:hAnsi="Times New Roman" w:cs="Times New Roman"/>
          <w:sz w:val="24"/>
          <w:szCs w:val="24"/>
        </w:rPr>
        <w:t>;</w:t>
      </w:r>
    </w:p>
    <w:p w14:paraId="4EA06730" w14:textId="5FB098C4"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sidR="003C1816">
        <w:rPr>
          <w:rFonts w:ascii="Times New Roman" w:hAnsi="Times New Roman" w:cs="Times New Roman"/>
          <w:sz w:val="24"/>
          <w:szCs w:val="24"/>
        </w:rPr>
        <w:t>;</w:t>
      </w:r>
    </w:p>
    <w:p w14:paraId="7AA38961" w14:textId="29A04ED0"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3C1816">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3C56FB15"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r w:rsidR="003C1816">
        <w:rPr>
          <w:rFonts w:ascii="Times New Roman" w:hAnsi="Times New Roman" w:cs="Times New Roman"/>
          <w:iCs/>
          <w:color w:val="000000" w:themeColor="text1"/>
          <w:sz w:val="24"/>
          <w:szCs w:val="24"/>
        </w:rPr>
        <w:t>;</w:t>
      </w:r>
    </w:p>
    <w:p w14:paraId="20DB7742" w14:textId="2D11DB61"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r w:rsidR="003C1816">
        <w:rPr>
          <w:rFonts w:ascii="Times New Roman" w:hAnsi="Times New Roman" w:cs="Times New Roman"/>
          <w:iCs/>
          <w:color w:val="000000" w:themeColor="text1"/>
          <w:sz w:val="24"/>
          <w:szCs w:val="24"/>
        </w:rPr>
        <w:t>;</w:t>
      </w:r>
    </w:p>
    <w:p w14:paraId="2A52CC69" w14:textId="782CE02E"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r w:rsidR="003C1816">
        <w:rPr>
          <w:rFonts w:ascii="Times New Roman" w:hAnsi="Times New Roman" w:cs="Times New Roman"/>
          <w:iCs/>
          <w:color w:val="000000" w:themeColor="text1"/>
          <w:sz w:val="24"/>
          <w:szCs w:val="24"/>
        </w:rPr>
        <w:t>;</w:t>
      </w:r>
    </w:p>
    <w:p w14:paraId="4C700F18" w14:textId="01705BAC"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lastRenderedPageBreak/>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003C1816">
        <w:rPr>
          <w:rFonts w:ascii="Times New Roman" w:hAnsi="Times New Roman" w:cs="Times New Roman"/>
          <w:sz w:val="24"/>
          <w:szCs w:val="24"/>
        </w:rPr>
        <w:t>;</w:t>
      </w:r>
    </w:p>
    <w:p w14:paraId="01FFF8AB" w14:textId="28FDC63B"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r w:rsidR="003C1816">
        <w:rPr>
          <w:rFonts w:ascii="Times New Roman" w:hAnsi="Times New Roman" w:cs="Times New Roman"/>
          <w:sz w:val="24"/>
          <w:szCs w:val="24"/>
        </w:rPr>
        <w:t>;</w:t>
      </w:r>
    </w:p>
    <w:p w14:paraId="5E65F35B" w14:textId="6AC79EFA"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r w:rsidR="003C1816">
        <w:rPr>
          <w:rFonts w:ascii="Times New Roman" w:hAnsi="Times New Roman" w:cs="Times New Roman"/>
          <w:color w:val="000000"/>
          <w:sz w:val="24"/>
          <w:szCs w:val="24"/>
        </w:rPr>
        <w:t>;</w:t>
      </w:r>
    </w:p>
    <w:p w14:paraId="248F7F7F" w14:textId="0E3251C3"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r w:rsidR="003C1816">
        <w:rPr>
          <w:rFonts w:ascii="Times New Roman" w:hAnsi="Times New Roman" w:cs="Times New Roman"/>
          <w:sz w:val="24"/>
          <w:szCs w:val="24"/>
        </w:rPr>
        <w:t>;</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6A97A8FD" w14:textId="1708283E" w:rsidR="00B838F3" w:rsidRPr="00B838F3" w:rsidRDefault="00DD3066" w:rsidP="00B838F3">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33"/>
        <w:gridCol w:w="1111"/>
        <w:gridCol w:w="6183"/>
      </w:tblGrid>
      <w:tr w:rsidR="00B838F3" w:rsidRPr="004B0AF4" w14:paraId="4D93A546" w14:textId="77777777" w:rsidTr="009861AA">
        <w:trPr>
          <w:trHeight w:val="176"/>
        </w:trPr>
        <w:tc>
          <w:tcPr>
            <w:tcW w:w="945" w:type="dxa"/>
            <w:shd w:val="clear" w:color="auto" w:fill="auto"/>
          </w:tcPr>
          <w:p w14:paraId="573ADA96" w14:textId="77777777" w:rsidR="00B838F3" w:rsidRPr="004B0AF4" w:rsidRDefault="00B838F3" w:rsidP="009861AA">
            <w:pPr>
              <w:tabs>
                <w:tab w:val="left" w:pos="1440"/>
                <w:tab w:val="left" w:pos="2127"/>
              </w:tabs>
              <w:spacing w:line="276" w:lineRule="auto"/>
              <w:jc w:val="right"/>
              <w:rPr>
                <w:rFonts w:ascii="Times New Roman" w:eastAsia="Calibri" w:hAnsi="Times New Roman"/>
                <w:sz w:val="20"/>
              </w:rPr>
            </w:pPr>
            <w:r w:rsidRPr="004B0AF4">
              <w:rPr>
                <w:rFonts w:ascii="Times New Roman" w:eastAsia="Calibri" w:hAnsi="Times New Roman"/>
                <w:sz w:val="20"/>
              </w:rPr>
              <w:t>0</w:t>
            </w:r>
            <w:r>
              <w:rPr>
                <w:rFonts w:ascii="Times New Roman" w:eastAsia="Calibri" w:hAnsi="Times New Roman"/>
                <w:sz w:val="20"/>
              </w:rPr>
              <w:t>7</w:t>
            </w:r>
            <w:r w:rsidRPr="004B0AF4">
              <w:rPr>
                <w:rFonts w:ascii="Times New Roman" w:eastAsia="Calibri" w:hAnsi="Times New Roman"/>
                <w:sz w:val="20"/>
              </w:rPr>
              <w:t>01</w:t>
            </w:r>
          </w:p>
        </w:tc>
        <w:tc>
          <w:tcPr>
            <w:tcW w:w="8127" w:type="dxa"/>
            <w:gridSpan w:val="3"/>
            <w:shd w:val="clear" w:color="auto" w:fill="auto"/>
          </w:tcPr>
          <w:p w14:paraId="07E093D2" w14:textId="110FF28E" w:rsidR="00B838F3" w:rsidRPr="004B0AF4" w:rsidRDefault="00B838F3" w:rsidP="009861AA">
            <w:pPr>
              <w:tabs>
                <w:tab w:val="left" w:pos="1440"/>
                <w:tab w:val="left" w:pos="2127"/>
              </w:tabs>
              <w:spacing w:line="276" w:lineRule="auto"/>
              <w:jc w:val="both"/>
              <w:rPr>
                <w:rFonts w:ascii="Times New Roman" w:eastAsia="Calibri" w:hAnsi="Times New Roman"/>
                <w:sz w:val="20"/>
              </w:rPr>
            </w:pPr>
            <w:r w:rsidRPr="004B0AF4">
              <w:rPr>
                <w:rFonts w:ascii="Times New Roman" w:eastAsia="Calibri" w:hAnsi="Times New Roman"/>
                <w:sz w:val="20"/>
              </w:rPr>
              <w:t xml:space="preserve">Secretaria Municipal </w:t>
            </w:r>
            <w:r>
              <w:rPr>
                <w:rFonts w:ascii="Times New Roman" w:eastAsia="Calibri" w:hAnsi="Times New Roman"/>
                <w:sz w:val="20"/>
              </w:rPr>
              <w:t xml:space="preserve">de Educação </w:t>
            </w:r>
          </w:p>
        </w:tc>
      </w:tr>
      <w:tr w:rsidR="00B838F3" w:rsidRPr="00B838F3" w14:paraId="7AE59B82" w14:textId="77777777" w:rsidTr="009861AA">
        <w:tc>
          <w:tcPr>
            <w:tcW w:w="1778" w:type="dxa"/>
            <w:gridSpan w:val="2"/>
            <w:shd w:val="clear" w:color="auto" w:fill="auto"/>
          </w:tcPr>
          <w:p w14:paraId="34383AEF" w14:textId="77777777" w:rsidR="00B838F3" w:rsidRPr="00B838F3" w:rsidRDefault="00B838F3" w:rsidP="009861AA">
            <w:pPr>
              <w:tabs>
                <w:tab w:val="left" w:pos="1440"/>
                <w:tab w:val="left" w:pos="2127"/>
              </w:tabs>
              <w:spacing w:line="276" w:lineRule="auto"/>
              <w:jc w:val="right"/>
              <w:rPr>
                <w:rFonts w:ascii="Times New Roman" w:eastAsia="Calibri" w:hAnsi="Times New Roman"/>
                <w:color w:val="000000" w:themeColor="text1"/>
                <w:sz w:val="20"/>
              </w:rPr>
            </w:pPr>
            <w:r w:rsidRPr="00B838F3">
              <w:rPr>
                <w:rFonts w:ascii="Times New Roman" w:eastAsia="Calibri" w:hAnsi="Times New Roman"/>
                <w:color w:val="000000" w:themeColor="text1"/>
                <w:sz w:val="20"/>
              </w:rPr>
              <w:t>2044</w:t>
            </w:r>
          </w:p>
        </w:tc>
        <w:tc>
          <w:tcPr>
            <w:tcW w:w="7294" w:type="dxa"/>
            <w:gridSpan w:val="2"/>
            <w:shd w:val="clear" w:color="auto" w:fill="auto"/>
          </w:tcPr>
          <w:p w14:paraId="6C39A7C2" w14:textId="77777777" w:rsidR="00B838F3" w:rsidRPr="00B838F3" w:rsidRDefault="00B838F3" w:rsidP="009861AA">
            <w:pPr>
              <w:tabs>
                <w:tab w:val="left" w:pos="1440"/>
                <w:tab w:val="left" w:pos="2127"/>
              </w:tabs>
              <w:spacing w:line="276" w:lineRule="auto"/>
              <w:jc w:val="both"/>
              <w:rPr>
                <w:rFonts w:ascii="Times New Roman" w:eastAsia="Calibri" w:hAnsi="Times New Roman"/>
                <w:color w:val="000000" w:themeColor="text1"/>
                <w:sz w:val="20"/>
              </w:rPr>
            </w:pPr>
            <w:r w:rsidRPr="00B838F3">
              <w:rPr>
                <w:rFonts w:ascii="Times New Roman" w:eastAsia="Calibri" w:hAnsi="Times New Roman"/>
                <w:color w:val="000000" w:themeColor="text1"/>
                <w:sz w:val="20"/>
              </w:rPr>
              <w:t>Realização Eventos Festivo natal</w:t>
            </w:r>
          </w:p>
        </w:tc>
      </w:tr>
      <w:tr w:rsidR="00B838F3" w:rsidRPr="00B838F3" w14:paraId="459E4D4C" w14:textId="77777777" w:rsidTr="009861AA">
        <w:tc>
          <w:tcPr>
            <w:tcW w:w="2889" w:type="dxa"/>
            <w:gridSpan w:val="3"/>
            <w:shd w:val="clear" w:color="auto" w:fill="auto"/>
          </w:tcPr>
          <w:p w14:paraId="558BC8EE" w14:textId="77777777" w:rsidR="00B838F3" w:rsidRPr="00B838F3" w:rsidRDefault="00B838F3" w:rsidP="009861AA">
            <w:pPr>
              <w:tabs>
                <w:tab w:val="left" w:pos="1440"/>
                <w:tab w:val="left" w:pos="2127"/>
              </w:tabs>
              <w:spacing w:line="276" w:lineRule="auto"/>
              <w:jc w:val="right"/>
              <w:rPr>
                <w:rFonts w:ascii="Times New Roman" w:eastAsia="Calibri" w:hAnsi="Times New Roman"/>
                <w:color w:val="000000" w:themeColor="text1"/>
                <w:sz w:val="20"/>
              </w:rPr>
            </w:pPr>
            <w:r w:rsidRPr="00B838F3">
              <w:rPr>
                <w:rFonts w:ascii="Times New Roman" w:eastAsia="Calibri" w:hAnsi="Times New Roman"/>
                <w:color w:val="000000" w:themeColor="text1"/>
                <w:sz w:val="20"/>
              </w:rPr>
              <w:t>339039</w:t>
            </w:r>
          </w:p>
        </w:tc>
        <w:tc>
          <w:tcPr>
            <w:tcW w:w="6183" w:type="dxa"/>
            <w:shd w:val="clear" w:color="auto" w:fill="auto"/>
          </w:tcPr>
          <w:p w14:paraId="6EA8324B" w14:textId="77777777" w:rsidR="00B838F3" w:rsidRPr="00B838F3" w:rsidRDefault="00B838F3" w:rsidP="009861AA">
            <w:pPr>
              <w:tabs>
                <w:tab w:val="left" w:pos="1440"/>
                <w:tab w:val="left" w:pos="2127"/>
              </w:tabs>
              <w:spacing w:line="276" w:lineRule="auto"/>
              <w:jc w:val="both"/>
              <w:rPr>
                <w:rFonts w:ascii="Times New Roman" w:eastAsia="Calibri" w:hAnsi="Times New Roman"/>
                <w:color w:val="000000" w:themeColor="text1"/>
                <w:sz w:val="20"/>
              </w:rPr>
            </w:pPr>
            <w:r w:rsidRPr="00B838F3">
              <w:rPr>
                <w:rFonts w:ascii="Times New Roman" w:eastAsia="Calibri" w:hAnsi="Times New Roman"/>
                <w:color w:val="000000" w:themeColor="text1"/>
                <w:sz w:val="20"/>
              </w:rPr>
              <w:t>Outros Serviços de Terceiros Pessoa Jurídica</w:t>
            </w:r>
          </w:p>
        </w:tc>
      </w:tr>
    </w:tbl>
    <w:p w14:paraId="650845BB" w14:textId="77777777" w:rsidR="00B838F3" w:rsidRPr="00B838F3" w:rsidRDefault="00B838F3" w:rsidP="00B838F3">
      <w:pPr>
        <w:pStyle w:val="Nivel01Titulo"/>
        <w:numPr>
          <w:ilvl w:val="0"/>
          <w:numId w:val="0"/>
        </w:numPr>
        <w:ind w:left="502"/>
        <w:rPr>
          <w:rFonts w:ascii="Times New Roman" w:hAnsi="Times New Roman"/>
          <w:color w:val="000000" w:themeColor="text1"/>
          <w:szCs w:val="24"/>
        </w:rPr>
      </w:pPr>
      <w:r w:rsidRPr="00B838F3">
        <w:rPr>
          <w:rFonts w:ascii="Times New Roman" w:hAnsi="Times New Roman"/>
          <w:color w:val="000000" w:themeColor="text1"/>
          <w:szCs w:val="24"/>
        </w:rPr>
        <w:t>Red. 12493</w:t>
      </w:r>
    </w:p>
    <w:p w14:paraId="025DFBF5" w14:textId="77777777" w:rsidR="00B838F3" w:rsidRDefault="00B838F3" w:rsidP="00B838F3">
      <w:pPr>
        <w:spacing w:before="120" w:after="120" w:line="276" w:lineRule="auto"/>
        <w:jc w:val="both"/>
        <w:rPr>
          <w:rFonts w:ascii="Times New Roman" w:hAnsi="Times New Roman" w:cs="Times New Roman"/>
          <w:sz w:val="24"/>
          <w:szCs w:val="24"/>
        </w:rPr>
      </w:pPr>
    </w:p>
    <w:p w14:paraId="181C39E0" w14:textId="3BDFBE2F"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 xml:space="preserve">e demais normas federais aplicáveis e, </w:t>
      </w:r>
      <w:r w:rsidRPr="001E2C8D">
        <w:rPr>
          <w:rFonts w:ascii="Times New Roman" w:hAnsi="Times New Roman" w:cs="Times New Roman"/>
          <w:sz w:val="24"/>
          <w:szCs w:val="24"/>
        </w:rPr>
        <w:lastRenderedPageBreak/>
        <w:t>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6A14A83C"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1FDCF3B9" w14:textId="4F295C02" w:rsidR="003373FA" w:rsidRPr="00B838F3" w:rsidRDefault="003373FA" w:rsidP="003A4E4F">
      <w:pPr>
        <w:spacing w:after="120" w:line="240" w:lineRule="auto"/>
        <w:ind w:right="-15" w:firstLine="540"/>
        <w:jc w:val="both"/>
        <w:rPr>
          <w:rFonts w:ascii="Times New Roman" w:hAnsi="Times New Roman" w:cs="Times New Roman"/>
          <w:color w:val="C00000"/>
          <w:sz w:val="24"/>
          <w:szCs w:val="24"/>
        </w:rPr>
      </w:pPr>
      <w:bookmarkStart w:id="3" w:name="_GoBack"/>
      <w:bookmarkEnd w:id="3"/>
    </w:p>
    <w:p w14:paraId="7A7EC417" w14:textId="6FE03FBF" w:rsidR="003373FA" w:rsidRPr="00B838F3" w:rsidRDefault="00DD427F" w:rsidP="003A4E4F">
      <w:pPr>
        <w:spacing w:after="120" w:line="240" w:lineRule="auto"/>
        <w:ind w:right="-15"/>
        <w:jc w:val="right"/>
        <w:rPr>
          <w:rFonts w:ascii="Times New Roman" w:hAnsi="Times New Roman" w:cs="Times New Roman"/>
          <w:color w:val="C00000"/>
          <w:sz w:val="24"/>
          <w:szCs w:val="24"/>
        </w:rPr>
      </w:pPr>
      <w:r w:rsidRPr="00B838F3">
        <w:rPr>
          <w:rFonts w:ascii="Times New Roman" w:hAnsi="Times New Roman" w:cs="Times New Roman"/>
          <w:color w:val="C00000"/>
          <w:sz w:val="24"/>
          <w:szCs w:val="24"/>
        </w:rPr>
        <w:t xml:space="preserve">CACIQUE DOBLE, </w:t>
      </w:r>
      <w:proofErr w:type="spellStart"/>
      <w:r w:rsidR="00B838F3" w:rsidRPr="00B838F3">
        <w:rPr>
          <w:rFonts w:ascii="Times New Roman" w:hAnsi="Times New Roman" w:cs="Times New Roman"/>
          <w:color w:val="C00000"/>
          <w:sz w:val="24"/>
          <w:szCs w:val="24"/>
        </w:rPr>
        <w:t>xx</w:t>
      </w:r>
      <w:proofErr w:type="spellEnd"/>
      <w:r w:rsidR="009E4201" w:rsidRPr="00B838F3">
        <w:rPr>
          <w:rFonts w:ascii="Times New Roman" w:hAnsi="Times New Roman" w:cs="Times New Roman"/>
          <w:color w:val="C00000"/>
          <w:sz w:val="24"/>
          <w:szCs w:val="24"/>
        </w:rPr>
        <w:t xml:space="preserve"> </w:t>
      </w:r>
      <w:r w:rsidRPr="00B838F3">
        <w:rPr>
          <w:rFonts w:ascii="Times New Roman" w:hAnsi="Times New Roman" w:cs="Times New Roman"/>
          <w:color w:val="C00000"/>
          <w:sz w:val="24"/>
          <w:szCs w:val="24"/>
        </w:rPr>
        <w:t>DE</w:t>
      </w:r>
      <w:r w:rsidR="00F23600" w:rsidRPr="00B838F3">
        <w:rPr>
          <w:rFonts w:ascii="Times New Roman" w:hAnsi="Times New Roman" w:cs="Times New Roman"/>
          <w:color w:val="C00000"/>
          <w:sz w:val="24"/>
          <w:szCs w:val="24"/>
        </w:rPr>
        <w:t xml:space="preserve"> </w:t>
      </w:r>
      <w:r w:rsidR="000C6BA2" w:rsidRPr="00B838F3">
        <w:rPr>
          <w:rFonts w:ascii="Times New Roman" w:hAnsi="Times New Roman" w:cs="Times New Roman"/>
          <w:color w:val="C00000"/>
          <w:sz w:val="24"/>
          <w:szCs w:val="24"/>
        </w:rPr>
        <w:t xml:space="preserve">JULHO </w:t>
      </w:r>
      <w:r w:rsidRPr="00B838F3">
        <w:rPr>
          <w:rFonts w:ascii="Times New Roman" w:hAnsi="Times New Roman" w:cs="Times New Roman"/>
          <w:color w:val="C00000"/>
          <w:sz w:val="24"/>
          <w:szCs w:val="24"/>
        </w:rPr>
        <w:t>DE 2023.</w:t>
      </w:r>
    </w:p>
    <w:p w14:paraId="29CE4ABB" w14:textId="77777777" w:rsidR="008E5DCE" w:rsidRPr="009E4201" w:rsidRDefault="008E5DCE" w:rsidP="00B078A6">
      <w:pPr>
        <w:spacing w:after="120" w:line="240" w:lineRule="auto"/>
        <w:ind w:right="-15"/>
        <w:rPr>
          <w:rFonts w:ascii="Times New Roman" w:hAnsi="Times New Roman" w:cs="Times New Roman"/>
          <w:color w:val="FF0000"/>
          <w:sz w:val="24"/>
          <w:szCs w:val="24"/>
        </w:rPr>
      </w:pPr>
    </w:p>
    <w:p w14:paraId="121AD12A" w14:textId="29D703DD" w:rsidR="00F32BCE" w:rsidRDefault="00F32BCE" w:rsidP="00DD427F">
      <w:pPr>
        <w:spacing w:after="0"/>
        <w:rPr>
          <w:rFonts w:ascii="Times New Roman" w:hAnsi="Times New Roman" w:cs="Times New Roman"/>
          <w:b/>
          <w:bCs/>
          <w:sz w:val="24"/>
          <w:szCs w:val="24"/>
        </w:rPr>
      </w:pPr>
    </w:p>
    <w:p w14:paraId="6B77572B" w14:textId="77777777" w:rsidR="00F32BCE" w:rsidRDefault="00F32BCE" w:rsidP="00DD427F">
      <w:pPr>
        <w:spacing w:after="0"/>
        <w:rPr>
          <w:rFonts w:ascii="Times New Roman" w:hAnsi="Times New Roman" w:cs="Times New Roman"/>
          <w:b/>
          <w:bCs/>
          <w:sz w:val="24"/>
          <w:szCs w:val="24"/>
        </w:rPr>
        <w:sectPr w:rsidR="00F32BCE" w:rsidSect="00B1351C">
          <w:headerReference w:type="default" r:id="rId11"/>
          <w:pgSz w:w="11906" w:h="16838"/>
          <w:pgMar w:top="2835" w:right="1418" w:bottom="1418" w:left="1701" w:header="709" w:footer="709" w:gutter="0"/>
          <w:cols w:space="708"/>
          <w:docGrid w:linePitch="360"/>
        </w:sectPr>
      </w:pPr>
    </w:p>
    <w:p w14:paraId="4FFE8648" w14:textId="3618EF18" w:rsidR="00B078A6" w:rsidRPr="00B078A6" w:rsidRDefault="00B078A6" w:rsidP="00B078A6">
      <w:pPr>
        <w:pStyle w:val="TextosemFormatao"/>
        <w:spacing w:line="276" w:lineRule="auto"/>
        <w:jc w:val="both"/>
        <w:rPr>
          <w:rFonts w:ascii="Times New Roman" w:hAnsi="Times New Roman"/>
          <w:b/>
          <w:sz w:val="24"/>
          <w:szCs w:val="28"/>
          <w:lang w:val="pt-BR"/>
        </w:rPr>
      </w:pPr>
      <w:r w:rsidRPr="00B078A6">
        <w:rPr>
          <w:rFonts w:ascii="Times New Roman" w:hAnsi="Times New Roman"/>
          <w:b/>
          <w:bCs/>
          <w:color w:val="000000"/>
          <w:sz w:val="24"/>
          <w:szCs w:val="28"/>
          <w:lang w:val="pt-BR"/>
        </w:rPr>
        <w:t>ADRIELI SILVESTRO 03088104063</w:t>
      </w:r>
      <w:r>
        <w:rPr>
          <w:rFonts w:ascii="Times New Roman" w:hAnsi="Times New Roman"/>
          <w:b/>
          <w:bCs/>
          <w:color w:val="000000"/>
          <w:sz w:val="24"/>
          <w:szCs w:val="28"/>
          <w:lang w:val="pt-BR"/>
        </w:rPr>
        <w:t xml:space="preserve"> </w:t>
      </w:r>
    </w:p>
    <w:p w14:paraId="4921DDEE" w14:textId="295F0079" w:rsidR="00F32BCE" w:rsidRDefault="00B078A6" w:rsidP="00B078A6">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Adrieli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Silvestro</w:t>
      </w:r>
      <w:proofErr w:type="spellEnd"/>
      <w:r w:rsidR="00D43FF3">
        <w:rPr>
          <w:rFonts w:ascii="Times New Roman" w:hAnsi="Times New Roman" w:cs="Times New Roman"/>
          <w:b/>
          <w:bCs/>
          <w:sz w:val="24"/>
          <w:szCs w:val="24"/>
        </w:rPr>
        <w:t xml:space="preserve"> </w:t>
      </w:r>
      <w:r w:rsidR="00B838F3">
        <w:rPr>
          <w:rFonts w:ascii="Times New Roman" w:hAnsi="Times New Roman" w:cs="Times New Roman"/>
          <w:b/>
          <w:bCs/>
          <w:sz w:val="24"/>
          <w:szCs w:val="24"/>
        </w:rPr>
        <w:t xml:space="preserve"> </w:t>
      </w:r>
    </w:p>
    <w:p w14:paraId="5BCAE703" w14:textId="77777777" w:rsidR="00B078A6" w:rsidRDefault="00B078A6" w:rsidP="00B078A6">
      <w:pPr>
        <w:spacing w:after="0"/>
        <w:ind w:firstLine="708"/>
        <w:jc w:val="both"/>
        <w:rPr>
          <w:rFonts w:ascii="Times New Roman" w:hAnsi="Times New Roman" w:cs="Times New Roman"/>
          <w:b/>
          <w:bCs/>
          <w:sz w:val="24"/>
          <w:szCs w:val="24"/>
        </w:rPr>
      </w:pPr>
    </w:p>
    <w:p w14:paraId="641227CF" w14:textId="278E1DD2" w:rsidR="00F32BCE" w:rsidRDefault="009E4201" w:rsidP="00F32BCE">
      <w:pPr>
        <w:spacing w:after="0"/>
        <w:ind w:firstLine="708"/>
        <w:rPr>
          <w:rFonts w:ascii="Times New Roman" w:hAnsi="Times New Roman" w:cs="Times New Roman"/>
          <w:b/>
          <w:bCs/>
          <w:sz w:val="24"/>
          <w:szCs w:val="24"/>
        </w:rPr>
      </w:pPr>
      <w:r>
        <w:rPr>
          <w:rFonts w:ascii="Times New Roman" w:hAnsi="Times New Roman" w:cs="Times New Roman"/>
          <w:b/>
          <w:bCs/>
          <w:sz w:val="24"/>
          <w:szCs w:val="24"/>
        </w:rPr>
        <w:t>LUIZ ANGELO DEON</w:t>
      </w:r>
    </w:p>
    <w:p w14:paraId="4AD47E2F" w14:textId="0096F072" w:rsidR="00F23600" w:rsidRPr="00F32BCE" w:rsidRDefault="00F32BCE" w:rsidP="00F32BCE">
      <w:pPr>
        <w:spacing w:after="0"/>
        <w:ind w:left="708"/>
        <w:rPr>
          <w:rFonts w:ascii="Times New Roman" w:hAnsi="Times New Roman" w:cs="Times New Roman"/>
          <w:b/>
          <w:bCs/>
          <w:sz w:val="24"/>
          <w:szCs w:val="24"/>
        </w:rPr>
      </w:pPr>
      <w:r>
        <w:rPr>
          <w:rFonts w:ascii="Times New Roman" w:hAnsi="Times New Roman" w:cs="Times New Roman"/>
          <w:b/>
          <w:bCs/>
          <w:sz w:val="24"/>
          <w:szCs w:val="24"/>
        </w:rPr>
        <w:t xml:space="preserve">    </w:t>
      </w:r>
      <w:r w:rsidR="00D43FF3">
        <w:rPr>
          <w:rFonts w:ascii="Times New Roman" w:hAnsi="Times New Roman" w:cs="Times New Roman"/>
          <w:b/>
          <w:bCs/>
          <w:sz w:val="24"/>
          <w:szCs w:val="24"/>
        </w:rPr>
        <w:t xml:space="preserve"> </w:t>
      </w:r>
      <w:r w:rsidR="00DD427F" w:rsidRPr="00DD427F">
        <w:rPr>
          <w:rFonts w:ascii="Times New Roman" w:hAnsi="Times New Roman" w:cs="Times New Roman"/>
          <w:b/>
          <w:bCs/>
          <w:sz w:val="24"/>
          <w:szCs w:val="24"/>
        </w:rPr>
        <w:t xml:space="preserve">Prefeito Municipal </w:t>
      </w:r>
    </w:p>
    <w:p w14:paraId="383E946B" w14:textId="77777777" w:rsidR="00F32BCE" w:rsidRDefault="00F32BCE" w:rsidP="003A4E4F">
      <w:pPr>
        <w:spacing w:after="120" w:line="240" w:lineRule="auto"/>
        <w:rPr>
          <w:rFonts w:ascii="Times New Roman" w:hAnsi="Times New Roman" w:cs="Times New Roman"/>
          <w:bCs/>
          <w:sz w:val="24"/>
          <w:szCs w:val="24"/>
        </w:rPr>
        <w:sectPr w:rsidR="00F32BCE" w:rsidSect="00F32BCE">
          <w:type w:val="continuous"/>
          <w:pgSz w:w="11906" w:h="16838"/>
          <w:pgMar w:top="2835" w:right="1418" w:bottom="1418" w:left="1701" w:header="709" w:footer="709" w:gutter="0"/>
          <w:cols w:num="2" w:space="708"/>
          <w:docGrid w:linePitch="360"/>
        </w:sectPr>
      </w:pPr>
    </w:p>
    <w:p w14:paraId="496E3A68" w14:textId="35FE9EBF"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6EAE1A20" w14:textId="09DB60BB" w:rsidR="00DC276C" w:rsidRPr="00F23600" w:rsidRDefault="003373FA" w:rsidP="00F23600">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roofErr w:type="gramStart"/>
      <w:r w:rsidR="00F23600">
        <w:rPr>
          <w:rFonts w:ascii="Times New Roman" w:hAnsi="Times New Roman" w:cs="Times New Roman"/>
          <w:i/>
          <w:iCs/>
          <w:sz w:val="24"/>
          <w:szCs w:val="24"/>
        </w:rPr>
        <w:t>-</w:t>
      </w:r>
      <w:r w:rsidR="00D43FF3">
        <w:rPr>
          <w:rFonts w:ascii="Times New Roman" w:hAnsi="Times New Roman" w:cs="Times New Roman"/>
          <w:i/>
          <w:iCs/>
          <w:sz w:val="24"/>
          <w:szCs w:val="24"/>
        </w:rPr>
        <w:t xml:space="preserve"> </w:t>
      </w:r>
      <w:r w:rsidR="00F23600">
        <w:rPr>
          <w:rFonts w:ascii="Times New Roman" w:hAnsi="Times New Roman" w:cs="Times New Roman"/>
          <w:i/>
          <w:iCs/>
          <w:sz w:val="24"/>
          <w:szCs w:val="24"/>
        </w:rPr>
        <w:t xml:space="preserve"> </w:t>
      </w:r>
      <w:r w:rsidR="00F23600">
        <w:rPr>
          <w:rFonts w:ascii="Times New Roman" w:hAnsi="Times New Roman" w:cs="Times New Roman"/>
          <w:i/>
          <w:iCs/>
          <w:sz w:val="24"/>
          <w:szCs w:val="24"/>
        </w:rPr>
        <w:tab/>
      </w:r>
      <w:proofErr w:type="gramEnd"/>
      <w:r w:rsidR="00F23600">
        <w:rPr>
          <w:rFonts w:ascii="Times New Roman" w:hAnsi="Times New Roman" w:cs="Times New Roman"/>
          <w:i/>
          <w:iCs/>
          <w:sz w:val="24"/>
          <w:szCs w:val="24"/>
        </w:rPr>
        <w:t xml:space="preserve"> </w:t>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t>2-</w:t>
      </w:r>
    </w:p>
    <w:sectPr w:rsidR="00DC276C" w:rsidRPr="00F23600" w:rsidSect="00F32BCE">
      <w:type w:val="continuous"/>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6118" w14:textId="77777777" w:rsidR="008C338E" w:rsidRDefault="008C338E" w:rsidP="00397EF2">
      <w:pPr>
        <w:spacing w:after="0" w:line="240" w:lineRule="auto"/>
      </w:pPr>
      <w:r>
        <w:separator/>
      </w:r>
    </w:p>
  </w:endnote>
  <w:endnote w:type="continuationSeparator" w:id="0">
    <w:p w14:paraId="389E66DA" w14:textId="77777777" w:rsidR="008C338E" w:rsidRDefault="008C338E" w:rsidP="00397EF2">
      <w:pPr>
        <w:spacing w:after="0" w:line="240" w:lineRule="auto"/>
      </w:pPr>
      <w:r>
        <w:continuationSeparator/>
      </w:r>
    </w:p>
  </w:endnote>
  <w:endnote w:type="continuationNotice" w:id="1">
    <w:p w14:paraId="3D3AE3D8" w14:textId="77777777" w:rsidR="008C338E" w:rsidRDefault="008C3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FBD3" w14:textId="77777777" w:rsidR="008C338E" w:rsidRDefault="008C338E" w:rsidP="00397EF2">
      <w:pPr>
        <w:spacing w:after="0" w:line="240" w:lineRule="auto"/>
      </w:pPr>
      <w:r>
        <w:separator/>
      </w:r>
    </w:p>
  </w:footnote>
  <w:footnote w:type="continuationSeparator" w:id="0">
    <w:p w14:paraId="2BAF084B" w14:textId="77777777" w:rsidR="008C338E" w:rsidRDefault="008C338E" w:rsidP="00397EF2">
      <w:pPr>
        <w:spacing w:after="0" w:line="240" w:lineRule="auto"/>
      </w:pPr>
      <w:r>
        <w:continuationSeparator/>
      </w:r>
    </w:p>
  </w:footnote>
  <w:footnote w:type="continuationNotice" w:id="1">
    <w:p w14:paraId="7FB2ED26" w14:textId="77777777" w:rsidR="008C338E" w:rsidRDefault="008C3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20B34AB"/>
    <w:multiLevelType w:val="hybridMultilevel"/>
    <w:tmpl w:val="89586468"/>
    <w:lvl w:ilvl="0" w:tplc="479EFC4E">
      <w:start w:val="1"/>
      <w:numFmt w:val="lowerLetter"/>
      <w:lvlText w:val="%1)"/>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09212">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4E222">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E28F0">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6179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C29986">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942A4C">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083824">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42E74C">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8BD6825"/>
    <w:multiLevelType w:val="hybridMultilevel"/>
    <w:tmpl w:val="874022B2"/>
    <w:lvl w:ilvl="0" w:tplc="E95E79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6"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0"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73240B2"/>
    <w:multiLevelType w:val="hybridMultilevel"/>
    <w:tmpl w:val="71A40242"/>
    <w:lvl w:ilvl="0" w:tplc="FBFEF11C">
      <w:start w:val="1"/>
      <w:numFmt w:val="lowerLetter"/>
      <w:lvlText w:val="%1)"/>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A226">
      <w:start w:val="1"/>
      <w:numFmt w:val="lowerLetter"/>
      <w:lvlText w:val="%2"/>
      <w:lvlJc w:val="left"/>
      <w:pPr>
        <w:ind w:left="1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6B91A">
      <w:start w:val="1"/>
      <w:numFmt w:val="lowerRoman"/>
      <w:lvlText w:val="%3"/>
      <w:lvlJc w:val="left"/>
      <w:pPr>
        <w:ind w:left="2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4AFED4">
      <w:start w:val="1"/>
      <w:numFmt w:val="decimal"/>
      <w:lvlText w:val="%4"/>
      <w:lvlJc w:val="left"/>
      <w:pPr>
        <w:ind w:left="3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D234BC">
      <w:start w:val="1"/>
      <w:numFmt w:val="lowerLetter"/>
      <w:lvlText w:val="%5"/>
      <w:lvlJc w:val="left"/>
      <w:pPr>
        <w:ind w:left="3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01A98">
      <w:start w:val="1"/>
      <w:numFmt w:val="lowerRoman"/>
      <w:lvlText w:val="%6"/>
      <w:lvlJc w:val="left"/>
      <w:pPr>
        <w:ind w:left="4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4F448">
      <w:start w:val="1"/>
      <w:numFmt w:val="decimal"/>
      <w:lvlText w:val="%7"/>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24EAC">
      <w:start w:val="1"/>
      <w:numFmt w:val="lowerLetter"/>
      <w:lvlText w:val="%8"/>
      <w:lvlJc w:val="left"/>
      <w:pPr>
        <w:ind w:left="6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A8C10">
      <w:start w:val="1"/>
      <w:numFmt w:val="lowerRoman"/>
      <w:lvlText w:val="%9"/>
      <w:lvlJc w:val="left"/>
      <w:pPr>
        <w:ind w:left="6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4"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21"/>
  </w:num>
  <w:num w:numId="2">
    <w:abstractNumId w:val="16"/>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0"/>
  </w:num>
  <w:num w:numId="29">
    <w:abstractNumId w:val="16"/>
  </w:num>
  <w:num w:numId="30">
    <w:abstractNumId w:val="20"/>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
  </w:num>
  <w:num w:numId="42">
    <w:abstractNumId w:val="16"/>
    <w:lvlOverride w:ilvl="0">
      <w:startOverride w:val="4"/>
    </w:lvlOverride>
    <w:lvlOverride w:ilvl="1">
      <w:startOverride w:val="1"/>
    </w:lvlOverride>
  </w:num>
  <w:num w:numId="43">
    <w:abstractNumId w:val="9"/>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
  </w:num>
  <w:num w:numId="47">
    <w:abstractNumId w:val="11"/>
  </w:num>
  <w:num w:numId="48">
    <w:abstractNumId w:val="4"/>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6076E"/>
    <w:rsid w:val="000622D7"/>
    <w:rsid w:val="00073E68"/>
    <w:rsid w:val="000926C9"/>
    <w:rsid w:val="0009325F"/>
    <w:rsid w:val="000964A1"/>
    <w:rsid w:val="000966DC"/>
    <w:rsid w:val="000A54E7"/>
    <w:rsid w:val="000B18D3"/>
    <w:rsid w:val="000B69FA"/>
    <w:rsid w:val="000C48B3"/>
    <w:rsid w:val="000C5EBA"/>
    <w:rsid w:val="000C6BA2"/>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24FFD"/>
    <w:rsid w:val="0023086D"/>
    <w:rsid w:val="00231330"/>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056E2"/>
    <w:rsid w:val="00310837"/>
    <w:rsid w:val="00322769"/>
    <w:rsid w:val="003264D3"/>
    <w:rsid w:val="0033685C"/>
    <w:rsid w:val="003373FA"/>
    <w:rsid w:val="003469BB"/>
    <w:rsid w:val="003703F8"/>
    <w:rsid w:val="00372368"/>
    <w:rsid w:val="00383EDF"/>
    <w:rsid w:val="00397EF2"/>
    <w:rsid w:val="003A1B5E"/>
    <w:rsid w:val="003A4B7D"/>
    <w:rsid w:val="003A4E4F"/>
    <w:rsid w:val="003B12C7"/>
    <w:rsid w:val="003B36EC"/>
    <w:rsid w:val="003B462A"/>
    <w:rsid w:val="003C1816"/>
    <w:rsid w:val="003C785E"/>
    <w:rsid w:val="003D3026"/>
    <w:rsid w:val="003D5874"/>
    <w:rsid w:val="003E52F1"/>
    <w:rsid w:val="003E64ED"/>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D6016"/>
    <w:rsid w:val="004E2A68"/>
    <w:rsid w:val="00506154"/>
    <w:rsid w:val="0051561C"/>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30867"/>
    <w:rsid w:val="00632AF4"/>
    <w:rsid w:val="0064036D"/>
    <w:rsid w:val="0064148B"/>
    <w:rsid w:val="0064732D"/>
    <w:rsid w:val="006529DC"/>
    <w:rsid w:val="006534AE"/>
    <w:rsid w:val="00661A4F"/>
    <w:rsid w:val="00663DD7"/>
    <w:rsid w:val="006653C3"/>
    <w:rsid w:val="006719D4"/>
    <w:rsid w:val="006805FD"/>
    <w:rsid w:val="00683324"/>
    <w:rsid w:val="00691463"/>
    <w:rsid w:val="006B4135"/>
    <w:rsid w:val="006C40CF"/>
    <w:rsid w:val="006E7AF1"/>
    <w:rsid w:val="006E7D06"/>
    <w:rsid w:val="006F4E54"/>
    <w:rsid w:val="006F7FB0"/>
    <w:rsid w:val="0070684E"/>
    <w:rsid w:val="00706DE7"/>
    <w:rsid w:val="00707D1F"/>
    <w:rsid w:val="007123CA"/>
    <w:rsid w:val="0072226B"/>
    <w:rsid w:val="007256EC"/>
    <w:rsid w:val="007302D2"/>
    <w:rsid w:val="0073146A"/>
    <w:rsid w:val="00733443"/>
    <w:rsid w:val="00737782"/>
    <w:rsid w:val="00744315"/>
    <w:rsid w:val="007530C5"/>
    <w:rsid w:val="007731BA"/>
    <w:rsid w:val="00782E6F"/>
    <w:rsid w:val="007907C9"/>
    <w:rsid w:val="00791789"/>
    <w:rsid w:val="007B178A"/>
    <w:rsid w:val="007C340A"/>
    <w:rsid w:val="007D1C84"/>
    <w:rsid w:val="007D1EA4"/>
    <w:rsid w:val="007D4AD0"/>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54B73"/>
    <w:rsid w:val="0085520B"/>
    <w:rsid w:val="00890C6D"/>
    <w:rsid w:val="008914ED"/>
    <w:rsid w:val="008A2AED"/>
    <w:rsid w:val="008A4469"/>
    <w:rsid w:val="008B0550"/>
    <w:rsid w:val="008B2527"/>
    <w:rsid w:val="008B7850"/>
    <w:rsid w:val="008C338E"/>
    <w:rsid w:val="008D0682"/>
    <w:rsid w:val="008D143C"/>
    <w:rsid w:val="008E5DCE"/>
    <w:rsid w:val="008E7191"/>
    <w:rsid w:val="008F1357"/>
    <w:rsid w:val="008F3A23"/>
    <w:rsid w:val="008F7888"/>
    <w:rsid w:val="009009F9"/>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A7667"/>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F3D"/>
    <w:rsid w:val="00AD3894"/>
    <w:rsid w:val="00AF2F2F"/>
    <w:rsid w:val="00AF7ED9"/>
    <w:rsid w:val="00B078A6"/>
    <w:rsid w:val="00B13062"/>
    <w:rsid w:val="00B1351C"/>
    <w:rsid w:val="00B3588F"/>
    <w:rsid w:val="00B35890"/>
    <w:rsid w:val="00B41CEE"/>
    <w:rsid w:val="00B45C45"/>
    <w:rsid w:val="00B50CB4"/>
    <w:rsid w:val="00B60B50"/>
    <w:rsid w:val="00B65776"/>
    <w:rsid w:val="00B838F3"/>
    <w:rsid w:val="00B97F27"/>
    <w:rsid w:val="00BA0E06"/>
    <w:rsid w:val="00BA36B1"/>
    <w:rsid w:val="00BB1B8D"/>
    <w:rsid w:val="00BD3081"/>
    <w:rsid w:val="00BD466C"/>
    <w:rsid w:val="00BE55EE"/>
    <w:rsid w:val="00BF0622"/>
    <w:rsid w:val="00C016DF"/>
    <w:rsid w:val="00C11935"/>
    <w:rsid w:val="00C14614"/>
    <w:rsid w:val="00C154A5"/>
    <w:rsid w:val="00C35F3F"/>
    <w:rsid w:val="00C51FFC"/>
    <w:rsid w:val="00C64160"/>
    <w:rsid w:val="00C71FE2"/>
    <w:rsid w:val="00C7628B"/>
    <w:rsid w:val="00C82C8A"/>
    <w:rsid w:val="00C95979"/>
    <w:rsid w:val="00CA1DF4"/>
    <w:rsid w:val="00CB37BC"/>
    <w:rsid w:val="00CC113F"/>
    <w:rsid w:val="00CC7938"/>
    <w:rsid w:val="00CD676A"/>
    <w:rsid w:val="00CD79AB"/>
    <w:rsid w:val="00CF6E43"/>
    <w:rsid w:val="00D0142A"/>
    <w:rsid w:val="00D031DB"/>
    <w:rsid w:val="00D06FC6"/>
    <w:rsid w:val="00D1137C"/>
    <w:rsid w:val="00D15098"/>
    <w:rsid w:val="00D1734E"/>
    <w:rsid w:val="00D20A79"/>
    <w:rsid w:val="00D32508"/>
    <w:rsid w:val="00D4227E"/>
    <w:rsid w:val="00D43FF3"/>
    <w:rsid w:val="00D66C86"/>
    <w:rsid w:val="00D711BD"/>
    <w:rsid w:val="00D71A81"/>
    <w:rsid w:val="00D728BE"/>
    <w:rsid w:val="00D75DF6"/>
    <w:rsid w:val="00D83D5B"/>
    <w:rsid w:val="00D95DEB"/>
    <w:rsid w:val="00D96EC9"/>
    <w:rsid w:val="00D971E9"/>
    <w:rsid w:val="00DB40B9"/>
    <w:rsid w:val="00DC276C"/>
    <w:rsid w:val="00DC5A9B"/>
    <w:rsid w:val="00DD17B0"/>
    <w:rsid w:val="00DD3066"/>
    <w:rsid w:val="00DD3478"/>
    <w:rsid w:val="00DD427F"/>
    <w:rsid w:val="00DE5251"/>
    <w:rsid w:val="00DE5F8B"/>
    <w:rsid w:val="00DF1238"/>
    <w:rsid w:val="00E00118"/>
    <w:rsid w:val="00E03756"/>
    <w:rsid w:val="00E0678D"/>
    <w:rsid w:val="00E07975"/>
    <w:rsid w:val="00E153D2"/>
    <w:rsid w:val="00E15448"/>
    <w:rsid w:val="00E20C50"/>
    <w:rsid w:val="00E25AF8"/>
    <w:rsid w:val="00E324C3"/>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E0D66"/>
    <w:rsid w:val="00EE34A4"/>
    <w:rsid w:val="00EE5C3B"/>
    <w:rsid w:val="00EE7EBD"/>
    <w:rsid w:val="00EF769A"/>
    <w:rsid w:val="00F05553"/>
    <w:rsid w:val="00F13833"/>
    <w:rsid w:val="00F23600"/>
    <w:rsid w:val="00F23FBF"/>
    <w:rsid w:val="00F245AD"/>
    <w:rsid w:val="00F32BCE"/>
    <w:rsid w:val="00F37100"/>
    <w:rsid w:val="00F41C11"/>
    <w:rsid w:val="00F552CA"/>
    <w:rsid w:val="00F741A3"/>
    <w:rsid w:val="00FA7CCC"/>
    <w:rsid w:val="00FB322C"/>
    <w:rsid w:val="00FC504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8E7191"/>
    <w:pPr>
      <w:keepNext/>
      <w:keepLines/>
      <w:spacing w:before="40" w:after="0" w:line="237" w:lineRule="auto"/>
      <w:ind w:left="-5" w:hanging="10"/>
      <w:jc w:val="both"/>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8E7191"/>
    <w:pPr>
      <w:keepNext/>
      <w:keepLines/>
      <w:spacing w:before="40" w:after="0" w:line="237" w:lineRule="auto"/>
      <w:ind w:left="-5" w:hanging="10"/>
      <w:jc w:val="both"/>
      <w:outlineLvl w:val="2"/>
    </w:pPr>
    <w:rPr>
      <w:rFonts w:asciiTheme="majorHAnsi" w:eastAsiaTheme="majorEastAsia" w:hAnsiTheme="majorHAnsi" w:cstheme="majorBidi"/>
      <w:color w:val="1F3763" w:themeColor="accent1" w:themeShade="7F"/>
      <w:sz w:val="24"/>
      <w:szCs w:val="24"/>
      <w:lang w:eastAsia="pt-BR"/>
    </w:rPr>
  </w:style>
  <w:style w:type="paragraph" w:styleId="Ttulo4">
    <w:name w:val="heading 4"/>
    <w:basedOn w:val="Normal"/>
    <w:next w:val="Normal"/>
    <w:link w:val="Ttulo4Char"/>
    <w:uiPriority w:val="9"/>
    <w:semiHidden/>
    <w:unhideWhenUsed/>
    <w:qFormat/>
    <w:rsid w:val="008E7191"/>
    <w:pPr>
      <w:keepNext/>
      <w:keepLines/>
      <w:spacing w:before="40" w:after="0" w:line="237" w:lineRule="auto"/>
      <w:ind w:left="-5" w:hanging="10"/>
      <w:jc w:val="both"/>
      <w:outlineLvl w:val="3"/>
    </w:pPr>
    <w:rPr>
      <w:rFonts w:asciiTheme="majorHAnsi" w:eastAsiaTheme="majorEastAsia" w:hAnsiTheme="majorHAnsi" w:cstheme="majorBidi"/>
      <w:i/>
      <w:iCs/>
      <w:color w:val="2F5496" w:themeColor="accent1" w:themeShade="BF"/>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 w:type="character" w:customStyle="1" w:styleId="Ttulo2Char">
    <w:name w:val="Título 2 Char"/>
    <w:basedOn w:val="Fontepargpadro"/>
    <w:link w:val="Ttulo2"/>
    <w:uiPriority w:val="9"/>
    <w:semiHidden/>
    <w:rsid w:val="008E7191"/>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8E719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8E7191"/>
    <w:rPr>
      <w:rFonts w:asciiTheme="majorHAnsi" w:eastAsiaTheme="majorEastAsia" w:hAnsiTheme="majorHAnsi" w:cstheme="majorBidi"/>
      <w:i/>
      <w:iCs/>
      <w:color w:val="2F5496" w:themeColor="accent1" w:themeShade="BF"/>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9C7B-D91D-4C74-8E00-0AB362F35EE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4.xml><?xml version="1.0" encoding="utf-8"?>
<ds:datastoreItem xmlns:ds="http://schemas.openxmlformats.org/officeDocument/2006/customXml" ds:itemID="{B794DB3E-E3F5-4058-8A9F-951F0B8F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3802</Words>
  <Characters>20533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Debora</cp:lastModifiedBy>
  <cp:revision>16</cp:revision>
  <cp:lastPrinted>2023-06-20T16:44:00Z</cp:lastPrinted>
  <dcterms:created xsi:type="dcterms:W3CDTF">2023-06-20T16:55:00Z</dcterms:created>
  <dcterms:modified xsi:type="dcterms:W3CDTF">2023-10-30T13:26:00Z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